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w14="http://schemas.microsoft.com/office/word/2010/wordml" xmlns:mc="http://schemas.openxmlformats.org/markup-compatibility/2006" mc:Ignorable="w14">
  <w:body>
    <w:p w14:paraId="2E2CEF10">
      <w:pPr>
        <w:spacing w:after="192" w:line="396"/>
        <w:jc w:val="left"/>
        <w:rPr>
          <w:color w:val="1565c0"/>
        </w:rPr>
      </w:pPr>
      <w:r>
        <w:rPr>
          <w:rFonts w:hint="eastAsia" w:ascii="微软雅黑" w:hAnsi="微软雅黑" w:eastAsia="微软雅黑" w:cs="微软雅黑"/>
          <w:b w:val="1"/>
          <w:color w:val="1565c0"/>
          <w:spacing w:val="33"/>
          <w:sz w:val="24"/>
        </w:rPr>
        <w:t>AI 经营赋能方案</w:t>
      </w:r>
    </w:p>
    <w:p w14:paraId="034B29CC">
      <w:pPr>
        <w:spacing w:after="120" w:line="324"/>
        <w:jc w:val="left"/>
        <w:rPr>
          <w:color w:val="1a237e"/>
        </w:rPr>
      </w:pPr>
      <w:r>
        <w:rPr>
          <w:rFonts w:hint="eastAsia" w:ascii="微软雅黑" w:hAnsi="微软雅黑" w:eastAsia="微软雅黑" w:cs="微软雅黑"/>
          <w:b w:val="1"/>
          <w:color w:val="1a237e"/>
          <w:sz w:val="52"/>
        </w:rPr>
        <w:t>深圳 2 万㎡ 汤泉综合体</w:t>
      </w:r>
      <w:r>
        <w:br w:type="textWrapping"/>
      </w:r>
      <w:r>
        <w:rPr>
          <w:rFonts w:hint="eastAsia" w:ascii="微软雅黑" w:hAnsi="微软雅黑" w:eastAsia="微软雅黑" w:cs="微软雅黑"/>
          <w:b w:val="1"/>
          <w:color w:val="1a237e"/>
          <w:sz w:val="52"/>
        </w:rPr>
        <w:t>AI 经营赋能方案</w:t>
      </w:r>
    </w:p>
    <w:p w14:paraId="6F801B21">
      <w:pPr>
        <w:spacing w:after="384" w:line="396"/>
        <w:jc w:val="left"/>
        <w:rPr>
          <w:color w:val="616161"/>
        </w:rPr>
      </w:pPr>
      <w:r>
        <w:rPr>
          <w:rFonts w:hint="eastAsia" w:ascii="微软雅黑" w:hAnsi="微软雅黑" w:eastAsia="微软雅黑" w:cs="微软雅黑"/>
          <w:color w:val="616161"/>
          <w:sz w:val="28"/>
        </w:rPr>
        <w:t>把 18,000 ㎡ 的每一个夜晚，变成一条能算账的流水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shd w:color="616161"/>
        <w:tblLayout w:type="autofit"/>
        <w:tblCellMar/>
      </w:tblPr>
      <w:tblGrid>
        <w:gridCol w:w="1827"/>
        <w:gridCol w:w="6479"/>
      </w:tblGrid>
      <w:tr>
        <w:trPr>
          <w:tblHeader w:val="1"/>
        </w:trPr>
        <w:tc>
          <w:tcPr>
            <w:tcW w:w="1827" w:type="dxa"/>
            <w:tcMar/>
            <w:vAlign w:val="center"/>
          </w:tcPr>
          <w:p w14:paraId="68ADB3EF">
            <w:pPr>
              <w:jc w:val="left"/>
              <w:rPr>
                <w:b w:val="1"/>
                <w:bCs w:val="1"/>
                <w:color w:val="616161"/>
              </w:rPr>
            </w:pPr>
            <w:r>
              <w:rPr>
                <w:rFonts w:hint="eastAsia" w:ascii="SimSun" w:hAnsi="SimSun" w:eastAsia="SimSun" w:cs="SimSun"/>
                <w:b w:val="1"/>
                <w:color w:val="616161"/>
                <w:sz w:val="21"/>
              </w:rPr>
              <w:t>项目</w:t>
            </w:r>
          </w:p>
        </w:tc>
        <w:tc>
          <w:tcPr>
            <w:tcW w:w="6479" w:type="dxa"/>
            <w:tcMar/>
            <w:vAlign w:val="center"/>
          </w:tcPr>
          <w:p w14:paraId="6149232D">
            <w:pPr>
              <w:jc w:val="left"/>
              <w:rPr>
                <w:b w:val="1"/>
                <w:bCs w:val="1"/>
                <w:color w:val="616161"/>
              </w:rPr>
            </w:pPr>
            <w:r>
              <w:rPr>
                <w:rFonts w:hint="eastAsia" w:ascii="SimSun" w:hAnsi="SimSun" w:eastAsia="SimSun" w:cs="SimSun"/>
                <w:b w:val="1"/>
                <w:color w:val="616161"/>
                <w:sz w:val="21"/>
              </w:rPr>
              <w:t>内容</w:t>
            </w:r>
          </w:p>
        </w:tc>
      </w:tr>
      <w:tr>
        <w:trPr/>
        <w:tc>
          <w:tcPr>
            <w:tcW w:w="1827" w:type="dxa"/>
            <w:tcMar/>
            <w:vAlign w:val="center"/>
          </w:tcPr>
          <w:p w14:paraId="34D722B9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提报对象</w:t>
            </w:r>
          </w:p>
        </w:tc>
        <w:tc>
          <w:tcPr>
            <w:tcW w:w="6479" w:type="dxa"/>
            <w:tcMar/>
            <w:vAlign w:val="center"/>
          </w:tcPr>
          <w:p w14:paraId="4D9641EF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深圳福田高端 24 小时汤泉综合体决策层</w:t>
            </w:r>
          </w:p>
        </w:tc>
      </w:tr>
      <w:tr>
        <w:trPr/>
        <w:tc>
          <w:tcPr>
            <w:tcW w:w="1827" w:type="dxa"/>
            <w:tcMar/>
            <w:vAlign w:val="center"/>
          </w:tcPr>
          <w:p w14:paraId="216DC17C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方案范围</w:t>
            </w:r>
          </w:p>
        </w:tc>
        <w:tc>
          <w:tcPr>
            <w:tcW w:w="6479" w:type="dxa"/>
            <w:tcMar/>
            <w:vAlign w:val="center"/>
          </w:tcPr>
          <w:p w14:paraId="684AFF6C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数据底座、四层 AI 能力、90 天实施路线图、投入产出测算</w:t>
            </w:r>
          </w:p>
        </w:tc>
      </w:tr>
      <w:tr>
        <w:trPr/>
        <w:tc>
          <w:tcPr>
            <w:tcW w:w="1827" w:type="dxa"/>
            <w:tcMar/>
            <w:vAlign w:val="center"/>
          </w:tcPr>
          <w:p w14:paraId="3BF95021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编制日期</w:t>
            </w:r>
          </w:p>
        </w:tc>
        <w:tc>
          <w:tcPr>
            <w:tcW w:w="6479" w:type="dxa"/>
            <w:tcMar/>
            <w:vAlign w:val="center"/>
          </w:tcPr>
          <w:p w14:paraId="5BECA10D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2026 年 10 月 22 日</w:t>
            </w:r>
          </w:p>
        </w:tc>
      </w:tr>
      <w:tr>
        <w:trPr/>
        <w:tc>
          <w:tcPr>
            <w:tcW w:w="1827" w:type="dxa"/>
            <w:tcMar/>
            <w:vAlign w:val="center"/>
          </w:tcPr>
          <w:p w14:paraId="72F729BE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版本</w:t>
            </w:r>
          </w:p>
        </w:tc>
        <w:tc>
          <w:tcPr>
            <w:tcW w:w="6479" w:type="dxa"/>
            <w:tcMar/>
            <w:vAlign w:val="center"/>
          </w:tcPr>
          <w:p w14:paraId="20A4BC91">
            <w:pPr>
              <w:jc w:val="left"/>
              <w:rPr>
                <w:color w:val="616161"/>
              </w:rPr>
            </w:pPr>
            <w:r>
              <w:rPr>
                <w:rFonts w:hint="eastAsia" w:ascii="SimSun" w:hAnsi="SimSun" w:eastAsia="SimSun" w:cs="SimSun"/>
                <w:color w:val="616161"/>
                <w:sz w:val="21"/>
              </w:rPr>
              <w:t>V1.0 提案稿</w:t>
            </w:r>
          </w:p>
        </w:tc>
      </w:tr>
    </w:tbl>
    <w:p w14:paraId="156C8151">
      <w:pPr>
        <w:spacing w:before="288" w:line="396"/>
        <w:jc w:val="left"/>
        <w:rPr>
          <w:color w:val="616161"/>
        </w:rPr>
        <w:sectPr>
          <w:type w:val="nextPage"/>
          <w:pgSz w:w="11906" w:h="16838"/>
          <w:pgMar w:top="1440" w:right="1800" w:bottom="1440" w:left="1800" w:header="851" w:footer="992" w:gutter="0"/>
        </w:sectPr>
      </w:pPr>
      <w:r>
        <w:rPr>
          <w:rFonts w:hint="eastAsia" w:ascii="SimSun" w:hAnsi="SimSun" w:eastAsia="SimSun" w:cs="SimSun"/>
          <w:color w:val="616161"/>
          <w:sz w:val="21"/>
        </w:rPr>
        <w:t>本方案所载测算值均基于公开行业基准推演，用于说明方法与量级，不构成经营承诺。</w:t>
      </w:r>
    </w:p>
    <w:p w14:paraId="7000F16A">
      <w:pPr>
        <w:spacing w:before="240" w:after="120"/>
      </w:pPr>
      <w:r>
        <w:rPr>
          <w:rFonts w:hint="eastAsia"/>
          <w:b w:val="1"/>
        </w:rPr>
        <w:t>目录</w:t>
      </w:r>
    </w:p>
    <w:p w14:paraId="1792F12B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"1-2" \h \z \u </w:instrText>
      </w:r>
      <w:r>
        <w:fldChar w:fldCharType="separate" w:fldLock="0" w:dirty="0"/>
      </w:r>
      <w:r>
        <w:fldChar w:fldCharType="begin" w:fldLock="0" w:dirty="0"/>
      </w:r>
      <w:r>
        <w:instrText xml:space="preserve"> HYPERLINK \l "section-1" </w:instrText>
      </w:r>
      <w:r>
        <w:fldChar w:fldCharType="separate" w:fldLock="0" w:dirty="0"/>
      </w:r>
      <w:r>
        <w:rPr>
          <w:rFonts w:hint="eastAsia"/>
        </w:rPr>
        <w:t>执行摘要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D0026C3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"section-2" </w:instrText>
      </w:r>
      <w:r>
        <w:fldChar w:fldCharType="separate" w:fldLock="0" w:dirty="0"/>
      </w:r>
      <w:r>
        <w:rPr>
          <w:rFonts w:hint="eastAsia"/>
        </w:rPr>
        <w:t>一、标的画像与经营处境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3C9C8DA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"section-2-1" </w:instrText>
      </w:r>
      <w:r>
        <w:fldChar w:fldCharType="separate" w:fldLock="0" w:dirty="0"/>
      </w:r>
      <w:r>
        <w:rPr>
          <w:rFonts w:hint="eastAsia"/>
        </w:rPr>
        <w:t>（一）项目基本面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8CEFF2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"section-2-2" </w:instrText>
      </w:r>
      <w:r>
        <w:fldChar w:fldCharType="separate" w:fldLock="0" w:dirty="0"/>
      </w:r>
      <w:r>
        <w:rPr>
          <w:rFonts w:hint="eastAsia"/>
        </w:rPr>
        <w:t>（二）收入结构：门票已经不是主业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2B6D4A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"section-2-3" </w:instrText>
      </w:r>
      <w:r>
        <w:fldChar w:fldCharType="separate" w:fldLock="0" w:dirty="0"/>
      </w:r>
      <w:r>
        <w:rPr>
          <w:rFonts w:hint="eastAsia"/>
        </w:rPr>
        <w:t>（三）成本结构：38% 的能耗是最贵的隐性支出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C5EA5E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"section-2-4" </w:instrText>
      </w:r>
      <w:r>
        <w:fldChar w:fldCharType="separate" w:fldLock="0" w:dirty="0"/>
      </w:r>
      <w:r>
        <w:rPr>
          <w:rFonts w:hint="eastAsia"/>
        </w:rPr>
        <w:t>（四）客流结构：双客群是最大红利，也是最大断裂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section-2-4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8275E70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"section-3" </w:instrText>
      </w:r>
      <w:r>
        <w:fldChar w:fldCharType="separate" w:fldLock="0" w:dirty="0"/>
      </w:r>
      <w:r>
        <w:rPr>
          <w:rFonts w:hint="eastAsia"/>
        </w:rPr>
        <w:t>二、六大经营课题与 AI 介入路径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400410F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"section-3-1" </w:instrText>
      </w:r>
      <w:r>
        <w:fldChar w:fldCharType="separate" w:fldLock="0" w:dirty="0"/>
      </w:r>
      <w:r>
        <w:rPr>
          <w:rFonts w:hint="eastAsia"/>
        </w:rPr>
        <w:t>（一）平台口碑资产近乎空白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1ED5F10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"section-3-2" </w:instrText>
      </w:r>
      <w:r>
        <w:fldChar w:fldCharType="separate" w:fldLock="0" w:dirty="0"/>
      </w:r>
      <w:r>
        <w:rPr>
          <w:rFonts w:hint="eastAsia"/>
        </w:rPr>
        <w:t>（二）能耗占成本 38%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8EB63E6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"section-3-3" </w:instrText>
      </w:r>
      <w:r>
        <w:fldChar w:fldCharType="separate" w:fldLock="0" w:dirty="0"/>
      </w:r>
      <w:r>
        <w:rPr>
          <w:rFonts w:hint="eastAsia"/>
        </w:rPr>
        <w:t>（三）24 小时三班倒的人力黑洞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ACA977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"section-3-4" </w:instrText>
      </w:r>
      <w:r>
        <w:fldChar w:fldCharType="separate" w:fldLock="0" w:dirty="0"/>
      </w:r>
      <w:r>
        <w:rPr>
          <w:rFonts w:hint="eastAsia"/>
        </w:rPr>
        <w:t>（四）复购率不足 30%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9398C40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"section-3-5" </w:instrText>
      </w:r>
      <w:r>
        <w:fldChar w:fldCharType="separate" w:fldLock="0" w:dirty="0"/>
      </w:r>
      <w:r>
        <w:rPr>
          <w:rFonts w:hint="eastAsia"/>
        </w:rPr>
        <w:t>（五）港客链路断裂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29F66DB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"section-3-6" </w:instrText>
      </w:r>
      <w:r>
        <w:fldChar w:fldCharType="separate" w:fldLock="0" w:dirty="0"/>
      </w:r>
      <w:r>
        <w:rPr>
          <w:rFonts w:hint="eastAsia"/>
        </w:rPr>
        <w:t>（六）合规与舆情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9AF156F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"section-3-7" </w:instrText>
      </w:r>
      <w:r>
        <w:fldChar w:fldCharType="separate" w:fldLock="0" w:dirty="0"/>
      </w:r>
      <w:r>
        <w:rPr>
          <w:rFonts w:hint="eastAsia"/>
        </w:rPr>
        <w:t>（七）一条必须写进合同的边界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section-3-7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BC9BD1D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"section-4" </w:instrText>
      </w:r>
      <w:r>
        <w:fldChar w:fldCharType="separate" w:fldLock="0" w:dirty="0"/>
      </w:r>
      <w:r>
        <w:rPr>
          <w:rFonts w:hint="eastAsia"/>
        </w:rPr>
        <w:t>三、方案架构：四层能力与一个底座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C2465F2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"section-4-1" </w:instrText>
      </w:r>
      <w:r>
        <w:fldChar w:fldCharType="separate" w:fldLock="0" w:dirty="0"/>
      </w:r>
      <w:r>
        <w:rPr>
          <w:rFonts w:hint="eastAsia"/>
        </w:rPr>
        <w:t>（一）能力分层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section-4-1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332BDA3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"section-4-2" </w:instrText>
      </w:r>
      <w:r>
        <w:fldChar w:fldCharType="separate" w:fldLock="0" w:dirty="0"/>
      </w:r>
      <w:r>
        <w:rPr>
          <w:rFonts w:hint="eastAsia"/>
        </w:rPr>
        <w:t>（二）底座：数据打通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section-4-2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F71D03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"section-4-3" </w:instrText>
      </w:r>
      <w:r>
        <w:fldChar w:fldCharType="separate" w:fldLock="0" w:dirty="0"/>
      </w:r>
      <w:r>
        <w:rPr>
          <w:rFonts w:hint="eastAsia"/>
        </w:rPr>
        <w:t>（三）行业验证：这不是概念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section-4-3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08082D7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"section-5" </w:instrText>
      </w:r>
      <w:r>
        <w:fldChar w:fldCharType="separate" w:fldLock="0" w:dirty="0"/>
      </w:r>
      <w:r>
        <w:rPr>
          <w:rFonts w:hint="eastAsia"/>
        </w:rPr>
        <w:t>四、90 天实施路线图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6DC17CE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"section-5-1" </w:instrText>
      </w:r>
      <w:r>
        <w:fldChar w:fldCharType="separate" w:fldLock="0" w:dirty="0"/>
      </w:r>
      <w:r>
        <w:rPr>
          <w:rFonts w:hint="eastAsia"/>
        </w:rPr>
        <w:t>（一）阶段一：第 1 至 14 天，看清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497C2B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"section-5-2" </w:instrText>
      </w:r>
      <w:r>
        <w:fldChar w:fldCharType="separate" w:fldLock="0" w:dirty="0"/>
      </w:r>
      <w:r>
        <w:rPr>
          <w:rFonts w:hint="eastAsia"/>
        </w:rPr>
        <w:t>（二）阶段二：第 15 至 50 天，省钱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A009133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"section-5-3" </w:instrText>
      </w:r>
      <w:r>
        <w:fldChar w:fldCharType="separate" w:fldLock="0" w:dirty="0"/>
      </w:r>
      <w:r>
        <w:rPr>
          <w:rFonts w:hint="eastAsia"/>
        </w:rPr>
        <w:t>（三）阶段三：第 51 至 90 天，赚钱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501F9F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"section-5-4" </w:instrText>
      </w:r>
      <w:r>
        <w:fldChar w:fldCharType="separate" w:fldLock="0" w:dirty="0"/>
      </w:r>
      <w:r>
        <w:rPr>
          <w:rFonts w:hint="eastAsia"/>
        </w:rPr>
        <w:t>（四）90 天之后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section-5-4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913ED8A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"section-6" </w:instrText>
      </w:r>
      <w:r>
        <w:fldChar w:fldCharType="separate" w:fldLock="0" w:dirty="0"/>
      </w:r>
      <w:r>
        <w:rPr>
          <w:rFonts w:hint="eastAsia"/>
        </w:rPr>
        <w:t>五、投入产出测算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58643128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"section-6-1" </w:instrText>
      </w:r>
      <w:r>
        <w:fldChar w:fldCharType="separate" w:fldLock="0" w:dirty="0"/>
      </w:r>
      <w:r>
        <w:rPr>
          <w:rFonts w:hint="eastAsia"/>
        </w:rPr>
        <w:t>（一）成本侧：能省多少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E015939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"section-6-2" </w:instrText>
      </w:r>
      <w:r>
        <w:fldChar w:fldCharType="separate" w:fldLock="0" w:dirty="0"/>
      </w:r>
      <w:r>
        <w:rPr>
          <w:rFonts w:hint="eastAsia"/>
        </w:rPr>
        <w:t>（二）收入侧：能多赚多少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4AFF6C1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"section-6-3" </w:instrText>
      </w:r>
      <w:r>
        <w:fldChar w:fldCharType="separate" w:fldLock="0" w:dirty="0"/>
      </w:r>
      <w:r>
        <w:rPr>
          <w:rFonts w:hint="eastAsia"/>
        </w:rPr>
        <w:t>（三）综合回报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3563B56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"section-6-4" </w:instrText>
      </w:r>
      <w:r>
        <w:fldChar w:fldCharType="separate" w:fldLock="0" w:dirty="0"/>
      </w:r>
      <w:r>
        <w:rPr>
          <w:rFonts w:hint="eastAsia"/>
        </w:rPr>
        <w:t>（四）关于这张表怎么讲才不显得夸大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section-6-4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4100BF78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"section-7" </w:instrText>
      </w:r>
      <w:r>
        <w:fldChar w:fldCharType="separate" w:fldLock="0" w:dirty="0"/>
      </w:r>
      <w:r>
        <w:rPr>
          <w:rFonts w:hint="eastAsia"/>
        </w:rPr>
        <w:t>六、风险与边界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section-7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23FB9804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"section-7-1" </w:instrText>
      </w:r>
      <w:r>
        <w:fldChar w:fldCharType="separate" w:fldLock="0" w:dirty="0"/>
      </w:r>
      <w:r>
        <w:rPr>
          <w:rFonts w:hint="eastAsia"/>
        </w:rPr>
        <w:t>（一）风险清单与应对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section-7-1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66DEFA8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"section-8" </w:instrText>
      </w:r>
      <w:r>
        <w:fldChar w:fldCharType="separate" w:fldLock="0" w:dirty="0"/>
      </w:r>
      <w:r>
        <w:rPr>
          <w:rFonts w:hint="eastAsia"/>
        </w:rPr>
        <w:t>七、服务方案与报价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section-8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5A45BF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"section-8-1" </w:instrText>
      </w:r>
      <w:r>
        <w:fldChar w:fldCharType="separate" w:fldLock="0" w:dirty="0"/>
      </w:r>
      <w:r>
        <w:rPr>
          <w:rFonts w:hint="eastAsia"/>
        </w:rPr>
        <w:t>（一）三档合作方案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section-8-1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C2E87C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"section-8-2" </w:instrText>
      </w:r>
      <w:r>
        <w:fldChar w:fldCharType="separate" w:fldLock="0" w:dirty="0"/>
      </w:r>
      <w:r>
        <w:rPr>
          <w:rFonts w:hint="eastAsia"/>
        </w:rPr>
        <w:t>（二）报价纪律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section-8-2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BF17B65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"section-8-3" </w:instrText>
      </w:r>
      <w:r>
        <w:fldChar w:fldCharType="separate" w:fldLock="0" w:dirty="0"/>
      </w:r>
      <w:r>
        <w:rPr>
          <w:rFonts w:hint="eastAsia"/>
        </w:rPr>
        <w:t>（三）验收标准汇总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section-8-3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0DEB7F07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"section-9" </w:instrText>
      </w:r>
      <w:r>
        <w:fldChar w:fldCharType="separate" w:fldLock="0" w:dirty="0"/>
      </w:r>
      <w:r>
        <w:rPr>
          <w:rFonts w:hint="eastAsia"/>
        </w:rPr>
        <w:t>八、交付物清单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section-9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75013C1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"section-9-1" </w:instrText>
      </w:r>
      <w:r>
        <w:fldChar w:fldCharType="separate" w:fldLock="0" w:dirty="0"/>
      </w:r>
      <w:r>
        <w:rPr>
          <w:rFonts w:hint="eastAsia"/>
        </w:rPr>
        <w:t>（一）交付物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section-9-1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18F7A830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"section-10" </w:instrText>
      </w:r>
      <w:r>
        <w:fldChar w:fldCharType="separate" w:fldLock="0" w:dirty="0"/>
      </w:r>
      <w:r>
        <w:rPr>
          <w:rFonts w:hint="eastAsia"/>
        </w:rPr>
        <w:t>九、启动计划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section-10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4316347">
      <w:pPr>
        <w:pStyle w:val="000004"/>
        <w:tabs>
          <w:tab w:val="right" w:leader="dot" w:pos="9072"/>
        </w:tabs>
        <w:ind w:left="200"/>
      </w:pPr>
      <w:r>
        <w:fldChar w:fldCharType="begin" w:fldLock="0" w:dirty="0"/>
      </w:r>
      <w:r>
        <w:instrText xml:space="preserve"> HYPERLINK \l "section-10-1" </w:instrText>
      </w:r>
      <w:r>
        <w:fldChar w:fldCharType="separate" w:fldLock="0" w:dirty="0"/>
      </w:r>
      <w:r>
        <w:rPr>
          <w:rFonts w:hint="eastAsia"/>
        </w:rPr>
        <w:t>（一）启动节奏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section-10-1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6E833CA7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"section-11" </w:instrText>
      </w:r>
      <w:r>
        <w:fldChar w:fldCharType="separate" w:fldLock="0" w:dirty="0"/>
      </w:r>
      <w:r>
        <w:rPr>
          <w:rFonts w:hint="eastAsia"/>
        </w:rPr>
        <w:t>方案承诺与边界声明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section-11 \h </w:instrText>
      </w:r>
      <w:r>
        <w:fldChar w:fldCharType="separate" w:fldLock="0" w:dirty="0"/>
      </w:r>
      <w:r>
        <w:t>1</w:t>
      </w:r>
      <w:r>
        <w:fldChar w:fldCharType="end" w:fldLock="0" w:dirty="0"/>
      </w:r>
    </w:p>
    <w:p w14:paraId="33AA8307">
      <w:pPr>
        <w:pStyle w:val="000005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HYPERLINK \l "section-12" </w:instrText>
      </w:r>
      <w:r>
        <w:fldChar w:fldCharType="separate" w:fldLock="0" w:dirty="0"/>
      </w:r>
      <w:r>
        <w:rPr>
          <w:rFonts w:hint="eastAsia"/>
        </w:rPr>
        <w:t>数据来源说明</w:t>
      </w:r>
      <w:r>
        <w:fldChar w:fldCharType="end" w:fldLock="0" w:dirty="0"/>
      </w:r>
      <w:r>
        <w:tab/>
      </w:r>
      <w:r>
        <w:fldChar w:fldCharType="begin" w:fldLock="0" w:dirty="0"/>
      </w:r>
      <w:r>
        <w:instrText xml:space="preserve"> PAGEREF section-12 \h </w:instrText>
      </w:r>
      <w:r>
        <w:fldChar w:fldCharType="separate" w:fldLock="0" w:dirty="0"/>
      </w:r>
      <w:r>
        <w:t>1</w:t>
      </w:r>
      <w:r>
        <w:fldChar w:fldCharType="end" w:fldLock="0" w:dirty="0"/>
      </w:r>
      <w:r>
        <w:fldChar w:fldCharType="end" w:fldLock="0" w:dirty="0"/>
      </w:r>
    </w:p>
    <w:p w14:paraId="55DCE2B7">
      <w:pPr>
        <w:sectPr>
          <w:type w:val="nextPage"/>
          <w:pgSz w:w="11906" w:h="16838"/>
          <w:pgMar w:top="1440" w:right="1800" w:bottom="1440" w:left="1800" w:header="851" w:footer="992" w:gutter="0"/>
        </w:sectPr>
      </w:pPr>
    </w:p>
    <w:p w14:paraId="6EF378F0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1" w:name="section-1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执行摘要</w:t>
      </w:r>
      <w:bookmarkEnd w:id="1"/>
    </w:p>
    <w:p w14:paraId="1B9FD2E5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致深圳福田高端 24 小时汤泉综合体决策层：本方案基于公开行业数据、公开平台数据及连锁服务业已公开披露的数字化实践，分析一家 18,000 ㎡、24 小时营业、面向深港双客群的汤泉综合体在开业爬坡期的经营课题，并给出 AI 介入的具体路径、验证标准与投入产出测算。</w:t>
      </w:r>
    </w:p>
    <w:p w14:paraId="22F8D81F">
      <w:pPr>
        <w:jc w:val="center"/>
      </w:pPr>
      <w:r>
        <w:rPr>
          <w:rFonts w:hint="eastAsia"/>
          <w:color w:val="888888"/>
          <w:sz w:val="18"/>
        </w:rPr>
        <w:t>表 1　关键经营指标速览</w:t>
      </w:r>
    </w:p>
    <w:tbl>
      <w:tblPr>
        <w:tblW w:w="8306" w:type="dxa"/>
        <w:shd w:color="212121"/>
        <w:tblLayout w:type="autofit"/>
        <w:tblCellMar/>
      </w:tblPr>
      <w:tblGrid>
        <w:gridCol w:w="1993"/>
        <w:gridCol w:w="1495"/>
        <w:gridCol w:w="2325"/>
        <w:gridCol w:w="2491"/>
      </w:tblGrid>
      <w:tr>
        <w:trPr>
          <w:tblHeader w:val="1"/>
        </w:trPr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A157E1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指标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131DC1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数值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85A3E01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口径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848E691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对本项目的含义</w:t>
            </w:r>
          </w:p>
        </w:tc>
      </w:tr>
      <w:tr>
        <w:trPr/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4D83E6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场景规模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6ACAF29">
            <w:pPr>
              <w:jc w:val="left"/>
              <w:rPr>
                <w:color w:val="1565c0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565c0"/>
                <w:sz w:val="24"/>
              </w:rPr>
              <w:t>18,000 ㎡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5DFEC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建筑面积，24 小时营业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757D96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刚性成本固定底座大，客流稍有不及即全线失血</w:t>
            </w:r>
          </w:p>
        </w:tc>
      </w:tr>
      <w:tr>
        <w:trPr/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ACE289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所处阶段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911BA8B">
            <w:pPr>
              <w:jc w:val="left"/>
              <w:rPr>
                <w:color w:val="1565c0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565c0"/>
                <w:sz w:val="24"/>
              </w:rPr>
              <w:t>开业第 4 个月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7037B1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2026 年 6 月 16 日开业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34A5DC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系统尚未固化，是接入成本最低的窗口期</w:t>
            </w:r>
          </w:p>
        </w:tc>
      </w:tr>
      <w:tr>
        <w:trPr/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501194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第一成本项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C75515B">
            <w:pPr>
              <w:jc w:val="left"/>
              <w:rPr>
                <w:color w:val="1565c0"/>
              </w:rPr>
            </w:pPr>
            <w:r>
              <w:rPr>
                <w:rFonts w:ascii="微软雅黑" w:hAnsi="微软雅黑" w:eastAsia="微软雅黑" w:cs="微软雅黑"/>
                <w:b w:val="1"/>
                <w:color w:val="1565c0"/>
                <w:sz w:val="24"/>
              </w:rPr>
              <w:t>38%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17D66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能耗占成本比重，行业基准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6913E8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最不性感但最赚钱的一段，也是最容易被浪费的一段</w:t>
            </w:r>
          </w:p>
        </w:tc>
      </w:tr>
      <w:tr>
        <w:trPr/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6E4897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获客成本倍数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6FBD1EF">
            <w:pPr>
              <w:jc w:val="left"/>
              <w:rPr>
                <w:color w:val="1565c0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565c0"/>
                <w:sz w:val="24"/>
              </w:rPr>
              <w:t>5 至 7 倍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DCA32C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获取新客成本相对维护老客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F2ECBF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复购运营的收益远高于继续买流量</w:t>
            </w:r>
          </w:p>
        </w:tc>
      </w:tr>
      <w:tr>
        <w:trPr/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16E636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老客复购率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AF82E9">
            <w:pPr>
              <w:jc w:val="left"/>
              <w:rPr>
                <w:color w:val="1565c0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565c0"/>
                <w:sz w:val="24"/>
              </w:rPr>
              <w:t>不足 30%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181307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行业多数单店水平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23AA47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会员与私域运营存在明确提升空间</w:t>
            </w:r>
          </w:p>
        </w:tc>
      </w:tr>
    </w:tbl>
    <w:p w14:paraId="39482E9A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shd w:color="212121"/>
        <w:tblLayout w:type="autofit"/>
        <w:tblCellMar/>
      </w:tblPr>
      <w:tblGrid>
        <w:gridCol w:w="8306"/>
      </w:tblGrid>
      <w:tr>
        <w:trPr>
          <w:tblHeader w:val="1"/>
        </w:trPr>
        <w:tc>
          <w:tcPr>
            <w:tcW w:w="830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4CA485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核心判断与本方案主张</w:t>
            </w:r>
          </w:p>
        </w:tc>
      </w:tr>
      <w:tr>
        <w:trPr/>
        <w:tc>
          <w:tcPr>
            <w:tcW w:w="8306" w:type="dxa"/>
            <w:tcBorders>
              <w:top w:val="single" w:color="cfd8dc" w:sz="6"/>
              <w:left w:val="single" w:color="1565c0" w:sz="18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D38053D">
            <w:pPr>
              <w:spacing w:before="78" w:after="78"/>
              <w:jc w:val="both"/>
              <w:rPr>
                <w:color w:val="212121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a237e"/>
                <w:sz w:val="24"/>
              </w:rPr>
              <w:t>核心判断：</w:t>
            </w:r>
            <w:r>
              <w:rPr>
                <w:rFonts w:hint="eastAsia" w:ascii="SimSun" w:hAnsi="SimSun" w:eastAsia="SimSun" w:cs="SimSun"/>
                <w:color w:val="212121"/>
                <w:sz w:val="24"/>
              </w:rPr>
              <w:t>本项目的硬件、餐食、洗护、场景营造均处于行业头部水平，并已获得 2026 D＆A 设计发现奖室内设计·品牌体验创新类金奖。因此真正的课题不在体验层，而在于——一个 18,000 ㎡、24 小时、双客群的新店，在开业第 4 个月，尚未建立可被计算的经营系统。坪效差距、成本漏洞、复购流失、跨境服务断点，这四件事都发生在系统里，而不是发生在某个人的努力里。</w:t>
            </w:r>
          </w:p>
          <w:p w14:paraId="72480266">
            <w:pPr>
              <w:spacing w:before="78" w:after="78"/>
              <w:jc w:val="both"/>
              <w:rPr>
                <w:color w:val="212121"/>
              </w:rPr>
            </w:pPr>
            <w:r>
              <w:rPr>
                <w:rFonts w:hint="eastAsia" w:ascii="微软雅黑" w:hAnsi="微软雅黑" w:eastAsia="微软雅黑" w:cs="微软雅黑"/>
                <w:b w:val="1"/>
                <w:color w:val="1a237e"/>
                <w:sz w:val="24"/>
              </w:rPr>
              <w:t>本方案主张三件事，不多做：</w:t>
            </w:r>
          </w:p>
          <w:p w14:paraId="35F390AD">
            <w:pPr>
              <w:spacing w:before="78" w:after="78"/>
              <w:jc w:val="both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一、先打通数据。手牌、手环、闸机、点单、排钟、水电表、客诉、评价接入统一数据层，让每天发生的事能被算账。</w:t>
            </w:r>
          </w:p>
          <w:p w14:paraId="23F72117">
            <w:pPr>
              <w:spacing w:before="78" w:after="78"/>
              <w:jc w:val="both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二、先解决最贵的。能耗占成本 38%，是洗浴行业结构性最高点，也是最不性感但最赚钱的一段。</w:t>
            </w:r>
          </w:p>
          <w:p w14:paraId="453363A6">
            <w:pPr>
              <w:spacing w:before="78" w:after="78"/>
              <w:jc w:val="both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4"/>
              </w:rPr>
              <w:t>三、再解决最痛的。深港双客群的服务断点，以及新店最缺的平台口碑资产。</w:t>
            </w:r>
          </w:p>
        </w:tc>
      </w:tr>
    </w:tbl>
    <w:p w14:paraId="64257DCB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明确不做的四件事：</w:t>
      </w:r>
      <w:r>
        <w:rPr>
          <w:rFonts w:hint="eastAsia" w:ascii="SimSun" w:hAnsi="SimSun" w:eastAsia="SimSun" w:cs="SimSun"/>
          <w:color w:val="212121"/>
          <w:sz w:val="24"/>
        </w:rPr>
        <w:t>不承诺营收增幅，只承诺可核验的过程指标；不要求决策层预先理解大模型，全程只需查看三张报表；不介入任何擦边经营，不设计超出监管限额的预付费方案；不推翻现有收银与会员系统，以增量对接方式实施。</w:t>
      </w:r>
    </w:p>
    <w:p w14:paraId="51B11CEC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2" w:name="section-2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一、标的画像与经营处境</w:t>
      </w:r>
      <w:bookmarkEnd w:id="2"/>
    </w:p>
    <w:p w14:paraId="297331E6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任何 AI 方案如果不先算清生意模型，都是在讲故事。先把收入结构、成本结构、客流结构三条线摊开。</w:t>
      </w:r>
    </w:p>
    <w:p w14:paraId="3963E84C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" w:name="section-2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（一）项目基本面</w:t>
      </w:r>
      <w:bookmarkEnd w:id="3"/>
    </w:p>
    <w:p w14:paraId="5086CF23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以下为公开信息范围内的项目特征，正式方案以现场核实结果为准。</w:t>
      </w:r>
    </w:p>
    <w:p w14:paraId="0E67D00F">
      <w:pPr>
        <w:jc w:val="center"/>
      </w:pPr>
      <w:r>
        <w:rPr>
          <w:rFonts w:hint="eastAsia"/>
          <w:color w:val="888888"/>
          <w:sz w:val="18"/>
        </w:rPr>
        <w:t>表 2　项目基本面</w:t>
      </w:r>
    </w:p>
    <w:tbl>
      <w:tblPr>
        <w:tblW w:w="8306" w:type="dxa"/>
        <w:shd w:color="212121"/>
        <w:tblLayout w:type="autofit"/>
        <w:tblCellMar/>
      </w:tblPr>
      <w:tblGrid>
        <w:gridCol w:w="1661"/>
        <w:gridCol w:w="6645"/>
      </w:tblGrid>
      <w:tr>
        <w:trPr>
          <w:tblHeader w:val="1"/>
        </w:trPr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9873E09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维度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0A75C03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情况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53CB59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建筑面积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782C0D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约 18,000 ㎡，上下两层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80340B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营业时间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A2A73C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24 小时，无休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D48E3C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区位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D24DD0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深圳市福田区沙头街道新洲三街 13 号，地铁 7 号线沙尾站 C 出口步行约 2 分钟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2959F6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距福田口岸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CEA265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约 3.1 公里，承接深港跨境客流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05A2EF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开业时间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B1F4AE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2026 年 6 月 16 日，方案编制时为开业第 4 个月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E87CB1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品牌背书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8B3055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集团已布局北京、上海、杭州、武汉、苏州、深圳等 8 城，旗下多品牌矩阵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83D1C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荣誉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E110FB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2026 D＆A 设计发现奖室内设计·品牌体验创新类金奖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106D7F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泡汤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47D416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男女宾区域全域独立泡池，24 小时循环净水系统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C91F62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餐饮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671107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自助加单点双模式，四个主题岛台；早茶 07:30 起、刺身午市 11:30 起、海鲜自助晚餐 17:30 起、粤式糖水夜宵 23:00 至 02:00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9015EA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果饮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B03BC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深圳首家榴莲与山竹全时段不断供，葡萄酒与干白免费畅饮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22CA6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洗护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6B0ED1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LELABO、法尔曼等一线品牌，配备戴森吹风机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99F629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休闲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DBA1DC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三大主题汗蒸房、深眠太空舱、主题影院、PS5 电竞区、棋牌室、团建房、商务办公区、健身设施、儿童乐园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6D8C1D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跨境</w:t>
            </w:r>
          </w:p>
        </w:tc>
        <w:tc>
          <w:tcPr>
            <w:tcW w:w="664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8113EF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智能行李寄存系统，双语服务</w:t>
            </w:r>
          </w:p>
        </w:tc>
      </w:tr>
    </w:tbl>
    <w:p w14:paraId="6447DF05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4" w:name="section-2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（二）收入结构：门票已经不是主业</w:t>
      </w:r>
      <w:bookmarkEnd w:id="4"/>
    </w:p>
    <w:p w14:paraId="4F4E91E8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行业数据已经把话说得很直白：洗浴中心的门票收入占比已从 50% 以上降至 30% 左右，餐饮跃升为第一大来源，占比超 40%，按摩、精油护理等理疗项目毛利超过 60%。由此推出三个经营含义。</w:t>
      </w:r>
    </w:p>
    <w:p w14:paraId="4B132752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真正赚钱的是进门之后的每一次加单——一次搓、一次按摩、一份刺身、一杯精酿。</w:t>
      </w:r>
    </w:p>
    <w:p w14:paraId="3E176A16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门票定价越低越卷，反而在把人流拉进店里；能否接住，取决于服务与转化能力，而非票价。</w:t>
      </w:r>
    </w:p>
    <w:p w14:paraId="3A13C0B4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因此 AI 介入的第一个正确落点不是拉多少人，而是进来的人身上能挖出多少。</w:t>
      </w:r>
    </w:p>
    <w:p w14:paraId="6F6C4ABA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一条关键推论：</w:t>
      </w:r>
      <w:r>
        <w:rPr>
          <w:rFonts w:hint="eastAsia" w:ascii="SimSun" w:hAnsi="SimSun" w:eastAsia="SimSun" w:cs="SimSun"/>
          <w:color w:val="212121"/>
          <w:sz w:val="24"/>
        </w:rPr>
        <w:t>本项目收入 40% 以上来自餐饮，而餐饮高峰分布在早茶、午市、晚餐、夜宵四个时段。这意味着凌晨 2 点至 7 点这 5 小时，在财务上接近纯成本中心。24 小时营业的钱，真正赚在中午到午夜这 19 小时。AI 介入的第一笔账，应该算在这 5 小时里。</w:t>
      </w:r>
    </w:p>
    <w:p w14:paraId="35C8AE45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5" w:name="section-2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（三）成本结构：38% 的能耗是最贵的隐性支出</w:t>
      </w:r>
      <w:bookmarkEnd w:id="5"/>
    </w:p>
    <w:p w14:paraId="55B47F2E">
      <w:pPr>
        <w:jc w:val="center"/>
      </w:pPr>
      <w:r>
        <w:rPr>
          <w:rFonts w:hint="eastAsia"/>
          <w:color w:val="888888"/>
          <w:sz w:val="18"/>
        </w:rPr>
        <w:t>表 3　成本结构与 AI 可介入性</w:t>
      </w:r>
    </w:p>
    <w:tbl>
      <w:tblPr>
        <w:tblW w:w="8306" w:type="dxa"/>
        <w:shd w:color="212121"/>
        <w:tblLayout w:type="autofit"/>
        <w:tblCellMar/>
      </w:tblPr>
      <w:tblGrid>
        <w:gridCol w:w="1495"/>
        <w:gridCol w:w="996"/>
        <w:gridCol w:w="3988"/>
        <w:gridCol w:w="1827"/>
      </w:tblGrid>
      <w:tr>
        <w:trPr>
          <w:tblHeader w:val="1"/>
        </w:trPr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CDAF7DE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成本项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A11477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占成本比</w:t>
            </w:r>
          </w:p>
        </w:tc>
        <w:tc>
          <w:tcPr>
            <w:tcW w:w="39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CB77D39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在 18,000 ㎡ 场景下的具体构成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CBF15A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AI 可介入性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824FD2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能源费用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71142E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38%</w:t>
            </w:r>
          </w:p>
        </w:tc>
        <w:tc>
          <w:tcPr>
            <w:tcW w:w="39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C11426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24h 循环净水加热、泡池恒温、汗蒸房加热、空调、除湿、厨房全时段四灶台、洗衣房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114D0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高：预测性调温与峰谷调度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6AF449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人力成本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D878F1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25%</w:t>
            </w:r>
          </w:p>
        </w:tc>
        <w:tc>
          <w:tcPr>
            <w:tcW w:w="39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0115EC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24h 三班倒的搓澡技师、理疗师、餐饮、前厅、保洁、安保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94B943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高：智能排班与流失预警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4387DA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租金折旧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34ACA7D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18%</w:t>
            </w:r>
          </w:p>
        </w:tc>
        <w:tc>
          <w:tcPr>
            <w:tcW w:w="39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86F027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福田核心区 18,000 ㎡ 商业物业，年租金刚性，与客流无关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4CD4A7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低：不可优化，只能靠坪效摊薄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681B5C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日耗与耗材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87A69DE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—</w:t>
            </w:r>
          </w:p>
        </w:tc>
        <w:tc>
          <w:tcPr>
            <w:tcW w:w="39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810D73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毛巾浴巾、洗护耗材、果盘点耗、食材损耗、一次性用品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1B98C8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中：布草周转与采购预测</w:t>
            </w:r>
          </w:p>
        </w:tc>
      </w:tr>
    </w:tbl>
    <w:p w14:paraId="35E369AD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行业刚性生活成本参考为 3.5 至 6 元每平方米每天，含租金 1.5 元、人力 1.5 至 2.5 元、能耗 1 至 1.5 元、日耗折算 0.4 元。按 18,000 ㎡ 折算为 6.3 万至 10.8 万元每天，折合 2,300 万至 3,900 万元每年，不含营销与税费；按深圳核心区租金水平修正后，实际区间约 9 万至 11 万元每天。按客单价 120 至 200 元测算，盈亏平衡的日均客流门槛约为 1,100 至 1,300 人次。</w:t>
      </w:r>
    </w:p>
    <w:p w14:paraId="1A672DF5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必须说出口的一句话：</w:t>
      </w:r>
      <w:r>
        <w:rPr>
          <w:rFonts w:hint="eastAsia" w:ascii="SimSun" w:hAnsi="SimSun" w:eastAsia="SimSun" w:cs="SimSun"/>
          <w:color w:val="212121"/>
          <w:sz w:val="24"/>
        </w:rPr>
        <w:t>18,000 ㎡ 在洗浴行业属于开业即亏的高危体量。行业观察明确指出，1 万平以上、开业即亏的项目占比超出想象，根源在于刚性成本构成的固定底座，客流稍有不及就全线失血。因此本项目当前需要的不是锦上添花，而是把每一块钱的流向看清楚。</w:t>
      </w:r>
    </w:p>
    <w:p w14:paraId="60864E4A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6" w:name="section-2-4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（四）客流结构：双客群是最大红利，也是最大断裂</w:t>
      </w:r>
      <w:bookmarkEnd w:id="6"/>
    </w:p>
    <w:p w14:paraId="2E256CCD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本项目距福田口岸约 3.1 公里，媒体预测其港客占比可达七成，而福田口岸周末日均客流稳定在 22 万人次以上、较工作日上涨四成。天花板极高，但深港本地客与跨境港客是两套完全不同的服务链路。</w:t>
      </w:r>
    </w:p>
    <w:p w14:paraId="5C0241A6">
      <w:pPr>
        <w:jc w:val="center"/>
      </w:pPr>
      <w:r>
        <w:rPr>
          <w:rFonts w:hint="eastAsia"/>
          <w:color w:val="888888"/>
          <w:sz w:val="18"/>
        </w:rPr>
        <w:t>表 4　双客群对照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1661"/>
        <w:gridCol w:w="1827"/>
        <w:gridCol w:w="1827"/>
        <w:gridCol w:w="1661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47233DE0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客群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DEA519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目标人群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8909EBE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主要触点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7496C9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链路断点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3C9E40A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AI 落点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1F087F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深港本地客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1D778D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工作日、闺蜜聚会、团建、周边家庭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D49E1C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小红书、抖音、大众点评、团购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2352E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工作日白天空置、工作日夜间空置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6551B0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时段定价、内容排期、沉睡唤醒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5CD3C8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跨境港客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8AEDAB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周末过夜、亲子、放松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AD5177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Klook、Trip.com、Instagram、TikTok、小红书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02549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语言、支付、口岸往返时间、行李、夜间叫车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986521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多语种客服、口岸班车预测、跨境内容矩阵</w:t>
            </w:r>
          </w:p>
        </w:tc>
      </w:tr>
    </w:tbl>
    <w:p w14:paraId="40826965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行业观察已明确：香港客人拖行李箱过关、晚上找地方躺平是真实需求，而目前这条链路上几乎全靠人工经验和 OTA 平台承接。谁先把这条链路接顺，谁就吃到跨境消费的完整溢价。这恰恰是 AI 最能兑现的场景，因为它同时涉及多语种、跨时区、实时路况与订单状态，人工做不了 24 小时。</w:t>
      </w:r>
    </w:p>
    <w:p w14:paraId="60E2D800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7" w:name="section-3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二、六大经营课题与 AI 介入路径</w:t>
      </w:r>
      <w:bookmarkEnd w:id="7"/>
    </w:p>
    <w:p w14:paraId="0DD8BEAC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本章逐条给出：可被感知的痛点、数据的因果关系、AI 具体做什么、如何验证有效。每条均设可核验指标，避免无法落地的表述。</w:t>
      </w:r>
    </w:p>
    <w:p w14:paraId="7994D602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8" w:name="section-3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（一）平台口碑资产近乎空白——新店最贵的隐形负债</w:t>
      </w:r>
      <w:bookmarkEnd w:id="8"/>
    </w:p>
    <w:p w14:paraId="7F822870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本项目在 Klook 累计参与 500 余次，但仅积累 4 条评价、均分 4.0；同期竞品阿奇拉汤泉在 Klook 累计参与 7,000 余次、235 条评价、均分 4.5。</w:t>
      </w:r>
    </w:p>
    <w:p w14:paraId="53E68256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平台搜索排序中，评价量与评分是核心权重因子。评价基数低，意味着免费自然流量被结构性压制，且这个差距会随时间持续放大。0.2 分的评分差，在客单价 200 元的场景下，等于每晚少两成自然订位。</w:t>
      </w:r>
    </w:p>
    <w:p w14:paraId="3EDF3544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全平台评价抓取与语义拆解，定位每个差评的具体责任方与可修复动作；到店即时的情绪感知与低分预警，让问题在扩散前被发现；辅助生成但由真人确认发布的邀评话术，把离店客人转化为评价资产。</w:t>
      </w:r>
    </w:p>
    <w:p w14:paraId="1EF5200E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30 天内评价数不低于 150 条、均分不低于 4.5、差评响应时长从小时级降至 10 分钟内。</w:t>
      </w:r>
    </w:p>
    <w:p w14:paraId="2D27AF3A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9" w:name="section-3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（二）能耗占成本 38%——最不性感但最赚钱的一段</w:t>
      </w:r>
      <w:bookmarkEnd w:id="9"/>
    </w:p>
    <w:p w14:paraId="27C92297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24 小时循环净水、全天候泡池恒温、汗蒸房、厨房四时段运转、空调除湿、洗衣房，全部按满负荷 24 小时设计。</w:t>
      </w:r>
    </w:p>
    <w:p w14:paraId="53D52DB9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真实需求是波峰波谷。装满 8 小时的池子和装满 3 小时的池子，水电成本完全相同。</w:t>
      </w:r>
    </w:p>
    <w:p w14:paraId="2AF0C155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行业证据：</w:t>
      </w:r>
      <w:r>
        <w:rPr>
          <w:rFonts w:hint="eastAsia" w:ascii="SimSun" w:hAnsi="SimSun" w:eastAsia="SimSun" w:cs="SimSun"/>
          <w:color w:val="212121"/>
          <w:sz w:val="24"/>
        </w:rPr>
        <w:t>采用智能水循环系统的门店，日均用水量从 35 吨降至 18 吨；采用空气源热泵的企业能源成本下降 42%。</w:t>
      </w:r>
    </w:p>
    <w:p w14:paraId="0FF0F7B3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采集分项电表与客流曲线，预测每小时热负荷；泡池、汗蒸、空调、厨房按预测客流分级运行；深夜低峰时段做蓄冷蓄热调度，避开峰段电价；巡检角色识别异常能耗，包括阀门未关、循环泵空转、加热棒结垢等隐性浪费。</w:t>
      </w:r>
    </w:p>
    <w:p w14:paraId="41A2859E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单位客次能耗下降不低于 12%，能耗占营收比从 38% 降至 33% 以内。</w:t>
      </w:r>
    </w:p>
    <w:p w14:paraId="0FAFBBC1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0" w:name="section-3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（三）24 小时三班倒的人力黑洞——技师流失率 37%</w:t>
      </w:r>
      <w:bookmarkEnd w:id="10"/>
    </w:p>
    <w:p w14:paraId="49ACE678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行业数据显示，足浴门店技师年度流失率普遍在 25% 至 35% 之间，核心原因是排钟不公与收入不透明。</w:t>
      </w:r>
    </w:p>
    <w:p w14:paraId="664B038B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这是一个自我强化的负循环。排钟不公导致技师主动离职，人走了班次塌方，服务质量下滑，更多人走。新店爬坡期最脆弱，因为客人已经在评价服务。</w:t>
      </w:r>
    </w:p>
    <w:p w14:paraId="33ACBA38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内置 30 余种排钟规则引擎，含轮牌、跳牌、钟数均衡、指定支援等，上钟记录不可篡改，绩效提成自动核算即时可查；排班与客流预测联动，自动算出今晚该配几个搓澡位、几个理疗师；长期低上钟的技师自动预警，做关怀干预而非事后开除；服务话术 AI 陪练，缩短新人上岗周期。</w:t>
      </w:r>
    </w:p>
    <w:p w14:paraId="3E5ADEE0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技师月流失率下降 8 个百分点以上，客诉中服务态度类占比下降，爆钟与空钟配比改善。</w:t>
      </w:r>
    </w:p>
    <w:p w14:paraId="6CBF3CCE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1" w:name="section-3-4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（四）复购率不足 30%——5 至 7 倍的获客成本差</w:t>
      </w:r>
      <w:bookmarkEnd w:id="11"/>
    </w:p>
    <w:p w14:paraId="75A26C16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行业铁律是获取新客的成本为维护老客的 5 至 7 倍，而多数单店老客复购率不足 30%。</w:t>
      </w:r>
    </w:p>
    <w:p w14:paraId="4B1DCF10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会员数据散落在收银、点单、储物、按摩等多个系统，营销只能群发全员券，既打扰客户又烧钱。钱花在了漏水的桶上。</w:t>
      </w:r>
    </w:p>
    <w:p w14:paraId="2F4C941C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建立 360 度客户画像，涵盖消费频次、客单价、偏好项目、指定技师、储值余额、剩余次数、优惠券持有情况；自动打标签并分群，包括 30 天、60 天、90 天未到店、生日、高毛利偏好、港客与本地客、团建决策人；规则引擎自动触达，替代人工群发；依据消费轨迹预测下次到店时间与最可能购买的项目，把加单推荐做到人。</w:t>
      </w:r>
    </w:p>
    <w:p w14:paraId="04592B43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老客复购率提升 5 个百分点以上，沉睡会员召回率不低于 8%，高毛利项目加单占比提升 4 个百分点以上。</w:t>
      </w:r>
    </w:p>
    <w:p w14:paraId="7646E9A9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2" w:name="section-3-5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（五）港客链路断裂——七成收入的想象空间被服务细节卡住</w:t>
      </w:r>
      <w:bookmarkEnd w:id="12"/>
    </w:p>
    <w:p w14:paraId="42A24381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竞品已把跨境服务做到极致。阿奇拉支持港币 1 比 1 结算、全场不收小费与服务费、凭的士票报销单人封顶 30 元的车费；泊屿汤泉提供口岸专车接送。竞争焦点已从泡得舒不舒服转向跨境流程顺不顺。</w:t>
      </w:r>
    </w:p>
    <w:p w14:paraId="0F4B8266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港客过福田口岸后，需要知道五件事：几点过关最顺、行李放哪、能不能通宵、怎么付、有没有车。这些问题的答案目前靠前台英语、OTA 客服和运气。而港客的决策窗口极短，从搜索到下单往往只有几分钟。</w:t>
      </w:r>
    </w:p>
    <w:p w14:paraId="043B0377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简体中文、繁体中文、英语、日语、韩语多语种 AI 前台与客服，覆盖预约、搓澡、餐食、投诉、支付全场景；口岸实时人流与通关时长预测，动态给出建议几点过关；智能行李寄存引导与叫车、跨境返程提醒；跨平台内容自动生成与投放，覆盖 Instagram、TikTok、Klook、Trip.com、小红书，按港客与本地客分素材。</w:t>
      </w:r>
    </w:p>
    <w:p w14:paraId="20FF07ED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港客订单占比与客单价提升，跨境渠道订单量增长，非中文咨询应答时长不超过 15 秒，OTA 评分回升。</w:t>
      </w:r>
    </w:p>
    <w:p w14:paraId="79F54E92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3" w:name="section-3-6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（六）合规与舆情——一次事故能吞掉一整年利润</w:t>
      </w:r>
      <w:bookmarkEnd w:id="13"/>
    </w:p>
    <w:p w14:paraId="7BDC6EF1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事实基础：</w:t>
      </w:r>
      <w:r>
        <w:rPr>
          <w:rFonts w:hint="eastAsia" w:ascii="SimSun" w:hAnsi="SimSun" w:eastAsia="SimSun" w:cs="SimSun"/>
          <w:color w:val="212121"/>
          <w:sz w:val="24"/>
        </w:rPr>
        <w:t>自 2025 年 5 月起施行的最高法预付式消费司法解释，已将养生、洗浴等领域的预付费纠纷纳入统一裁判规则；深圳明文规定按摩保健类预付卡总额不得超过 5,000 元；黑猫投诉平台预付费相关投诉超 3,000 条，最近 10 件仅解决 3 件。</w:t>
      </w:r>
    </w:p>
    <w:p w14:paraId="5A828044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因果机制：</w:t>
      </w:r>
      <w:r>
        <w:rPr>
          <w:rFonts w:hint="eastAsia" w:ascii="SimSun" w:hAnsi="SimSun" w:eastAsia="SimSun" w:cs="SimSun"/>
          <w:color w:val="212121"/>
          <w:sz w:val="24"/>
        </w:rPr>
        <w:t>靠充三千送一千续命的现金流模式被堵死，消费者的钱包已被吓怕，宁可单次买单也不愿一次性存入大额资金。合规不再是加分项，而是经营前提。</w:t>
      </w:r>
    </w:p>
    <w:p w14:paraId="628374AA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AI 介入：</w:t>
      </w:r>
      <w:r>
        <w:rPr>
          <w:rFonts w:hint="eastAsia" w:ascii="SimSun" w:hAnsi="SimSun" w:eastAsia="SimSun" w:cs="SimSun"/>
          <w:color w:val="212121"/>
          <w:sz w:val="24"/>
        </w:rPr>
        <w:t>全渠道舆情监控，覆盖点评、小红书、抖音与投诉平台，负面信息 30 分钟内预警到具体负责人；预付费话术与合同条款合规校验，超 5,000 元方案自动拦截并给出合规替代，即次卡、单次、疗程；客诉分级与话术库，一线可直接取用；卫生与证照自查清单数字化，涵盖水质检测、泳池循环消毒记录、汗蒸房温度记录。</w:t>
      </w:r>
    </w:p>
    <w:p w14:paraId="79D8FD80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验证指标：</w:t>
      </w:r>
      <w:r>
        <w:rPr>
          <w:rFonts w:hint="eastAsia" w:ascii="SimSun" w:hAnsi="SimSun" w:eastAsia="SimSun" w:cs="SimSun"/>
          <w:color w:val="212121"/>
          <w:sz w:val="24"/>
        </w:rPr>
        <w:t>负面舆情发现时延从小时级降至 30 分钟内，预付卡合规率 100%，客诉 24 小时闭环率不低于 90%。</w:t>
      </w:r>
    </w:p>
    <w:p w14:paraId="26620317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4" w:name="section-3-7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（七）一条必须写进合同的边界</w:t>
      </w:r>
      <w:bookmarkEnd w:id="14"/>
    </w:p>
    <w:p w14:paraId="06FE092B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本方案严禁介入任何擦边经营，不设计超出 5,000 元上限的预付费方案，不生成擦边营销文案，不协助规避监管的表述。</w:t>
      </w:r>
      <w:r>
        <w:rPr>
          <w:rFonts w:hint="eastAsia" w:ascii="SimSun" w:hAnsi="SimSun" w:eastAsia="SimSun" w:cs="SimSun"/>
          <w:color w:val="212121"/>
          <w:sz w:val="24"/>
        </w:rPr>
        <w:t>这既是行业红线，也是长期合作的唯一地基——一旦系统被用于此类用途，项目立即终止且不退款。将此条款写入合同，反而会显著提升决策层的安全感。</w:t>
      </w:r>
    </w:p>
    <w:p w14:paraId="0707A393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15" w:name="section-4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三、方案架构：四层能力与一个底座</w:t>
      </w:r>
      <w:bookmarkEnd w:id="15"/>
    </w:p>
    <w:p w14:paraId="4883A0CC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本章按决策层感知的优先级而非技术的新鲜感排序。每一层都能独立产生价值，不必等到第四层才</w:t>
      </w:r>
      <w:r>
        <w:rPr>
          <w:rFonts w:hint="eastAsia" w:ascii="SimSun" w:hAnsi="SimSun" w:eastAsia="SimSun" w:cs="SimSun"/>
          <w:color w:val="212121"/>
          <w:sz w:val="24"/>
        </w:rPr>
        <w:drawing>
          <wp:inline distT="0" distB="0" distL="0" distR="0">
            <wp:extent cx="5274310" cy="2501043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SimSun" w:hAnsi="SimSun" w:eastAsia="SimSun" w:cs="SimSun"/>
          <w:color w:val="212121"/>
          <w:sz w:val="24"/>
        </w:rPr>
        <w:t>开始计费。</w:t>
      </w:r>
    </w:p>
    <w:p w14:paraId="7FBAB52B">
      <w:pPr>
        <w:pStyle w:val="3xirz1"/>
        <w:jc w:val="center"/>
        <w:rPr>
          <w:rFonts w:ascii="SimSun" w:hAnsi="SimSun" w:eastAsia="SimSun"/>
          <w:sz w:val="24"/>
          <w:szCs w:val="24"/>
        </w:rPr>
      </w:pPr>
      <w:bookmarkStart w:id="16" w:name="section-4-1"/>
      <w:r>
        <w:rPr>
          <w:rFonts w:hint="eastAsia" w:ascii="SimSun" w:hAnsi="SimSun" w:eastAsia="SimSun"/>
          <w:color w:val="666666"/>
          <w:sz w:val="18"/>
          <w:szCs w:val="18"/>
        </w:rPr>
        <w:t>图 1　四层能力金字塔与数据底座：每层可独立产生价值，底座是唯一硬前置条件</w:t>
      </w:r>
    </w:p>
    <w:p w14:paraId="5ACA8448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（一）能力分层</w:t>
      </w:r>
      <w:bookmarkEnd w:id="16"/>
    </w:p>
    <w:p w14:paraId="603987A2">
      <w:pPr>
        <w:jc w:val="center"/>
      </w:pPr>
      <w:r>
        <w:rPr>
          <w:rFonts w:hint="eastAsia"/>
          <w:color w:val="888888"/>
          <w:sz w:val="18"/>
        </w:rPr>
        <w:t>表 5　四层能力与见效周期</w:t>
      </w:r>
    </w:p>
    <w:tbl>
      <w:tblPr>
        <w:tblW w:w="8306" w:type="dxa"/>
        <w:shd w:color="212121"/>
        <w:tblLayout w:type="autofit"/>
        <w:tblCellMar/>
      </w:tblPr>
      <w:tblGrid>
        <w:gridCol w:w="830"/>
        <w:gridCol w:w="1328"/>
        <w:gridCol w:w="3658"/>
        <w:gridCol w:w="1328"/>
        <w:gridCol w:w="1162"/>
      </w:tblGrid>
      <w:tr>
        <w:trPr>
          <w:tblHeader w:val="1"/>
        </w:trPr>
        <w:tc>
          <w:tcPr>
            <w:tcW w:w="83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B15379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层级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3F0A69E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名称</w:t>
            </w:r>
          </w:p>
        </w:tc>
        <w:tc>
          <w:tcPr>
            <w:tcW w:w="365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94786F3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核心能力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4487A48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见效周期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00EEC39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价值优先级</w:t>
            </w:r>
          </w:p>
        </w:tc>
      </w:tr>
      <w:tr>
        <w:trPr/>
        <w:tc>
          <w:tcPr>
            <w:tcW w:w="83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9351592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L1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659D91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不失控</w:t>
            </w:r>
          </w:p>
        </w:tc>
        <w:tc>
          <w:tcPr>
            <w:tcW w:w="365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410E03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全渠道舆情监控与快速预警、预付费合规校验、客诉分级与话术库、卫生证照与水质自查数字化、敏感词与红线内容过滤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46619B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 至 4 周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D7FA10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保命级</w:t>
            </w:r>
          </w:p>
        </w:tc>
      </w:tr>
      <w:tr>
        <w:trPr/>
        <w:tc>
          <w:tcPr>
            <w:tcW w:w="83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A06B69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L2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32D3C1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不透支</w:t>
            </w:r>
          </w:p>
        </w:tc>
        <w:tc>
          <w:tcPr>
            <w:tcW w:w="365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5CC541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能耗预测与分级调度、峰谷电价蓄冷蓄热、智能排班与排钟公平引擎、采购与食材损耗预测、布草周转优化、数字人前台分流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B907B3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 至 10 周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087F38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最赚钱</w:t>
            </w:r>
          </w:p>
        </w:tc>
      </w:tr>
      <w:tr>
        <w:trPr/>
        <w:tc>
          <w:tcPr>
            <w:tcW w:w="83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86F0A04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L3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1A8C39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获增量</w:t>
            </w:r>
          </w:p>
        </w:tc>
        <w:tc>
          <w:tcPr>
            <w:tcW w:w="365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C8D762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360 度会员画像与自动分群、沉睡客唤醒、高毛利项目智能推荐、港客多语种客服与跨境链路、内容工厂、邀评与口碑资产运营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2FF771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6 至 16 周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C7EE8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天花板</w:t>
            </w:r>
          </w:p>
        </w:tc>
      </w:tr>
      <w:tr>
        <w:trPr/>
        <w:tc>
          <w:tcPr>
            <w:tcW w:w="83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0CC64FD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L4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926DEB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看得见</w:t>
            </w:r>
          </w:p>
        </w:tc>
        <w:tc>
          <w:tcPr>
            <w:tcW w:w="365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A3BF34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经营看板、AI 数字店长、实时坪效与时段健康度、连锁门店横向对比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D034B5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持续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BCCE3F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管理刚需</w:t>
            </w:r>
          </w:p>
        </w:tc>
      </w:tr>
    </w:tbl>
    <w:p w14:paraId="20FC232F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7" w:name="section-4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（二）底座：数据打通</w:t>
      </w:r>
      <w:bookmarkEnd w:id="17"/>
    </w:p>
    <w:p w14:paraId="7A835F44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手牌、手环、闸机、点单、排钟、水电表、客诉、评价、库存，全部接入统一数据层，形成客流、消费、成本、人效四张底表。</w:t>
      </w:r>
    </w:p>
    <w:p w14:paraId="3DA2743D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这一层是唯一的技术前置条件。没有它，上面四层都是空中楼阁——这也是绝大多数服务商在第 3 个月卡死的真正原因：只做上层应用，数据不通就退化成演示。</w:t>
      </w:r>
    </w:p>
    <w:p w14:paraId="289D6F11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不做大替换：</w:t>
      </w:r>
      <w:r>
        <w:rPr>
          <w:rFonts w:hint="eastAsia" w:ascii="SimSun" w:hAnsi="SimSun" w:eastAsia="SimSun" w:cs="SimSun"/>
          <w:color w:val="212121"/>
          <w:sz w:val="24"/>
        </w:rPr>
        <w:t>现有收银、会员、手牌系统保持运行，只做增量对接，降低内部阻力与切换风险。</w:t>
      </w:r>
    </w:p>
    <w:p w14:paraId="747A6942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接口清单先行：</w:t>
      </w:r>
      <w:r>
        <w:rPr>
          <w:rFonts w:hint="eastAsia" w:ascii="SimSun" w:hAnsi="SimSun" w:eastAsia="SimSun" w:cs="SimSun"/>
          <w:color w:val="212121"/>
          <w:sz w:val="24"/>
        </w:rPr>
        <w:t>进场第一周完成系统盘点与接口可行性评估，评估不通过的项目当场从方案中移除并同步调整报价。</w:t>
      </w:r>
    </w:p>
    <w:p w14:paraId="1F4ABA5D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18" w:name="section-4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（三）行业验证：这不是概念</w:t>
      </w:r>
      <w:bookmarkEnd w:id="18"/>
    </w:p>
    <w:p w14:paraId="0AF0B9F5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以下为连锁服务业已公开披露的实践数据，用于说明本方案所处场景的可行性，非引用为背书。</w:t>
      </w:r>
    </w:p>
    <w:p w14:paraId="2ACC08D0">
      <w:pPr>
        <w:jc w:val="center"/>
      </w:pPr>
      <w:r>
        <w:rPr>
          <w:rFonts w:hint="eastAsia"/>
          <w:color w:val="888888"/>
          <w:sz w:val="18"/>
        </w:rPr>
        <w:t>表 6　同行已公开披露的数字化实践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1827"/>
        <w:gridCol w:w="3656"/>
        <w:gridCol w:w="1495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3A8AE4E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企业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8832C4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做法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5FC3FCA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公开结果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5FA5775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对本项目的映射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07ABEE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锦江酒店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7EEE23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自研超级 AI 员工 JINTELL、送物机器人、AI 陪练与 AI 评鉴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4264CF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落地近 3,000 家门店，自主承接超 70% 客人来电，全年服务机器人送物 6,000 万次，节省人力 570 万小时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9E88FB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L2 排班、L4 数字店长、员工培训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468B62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华住集团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A288DC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全流程数字人前台，含全息迎宾与智能前台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28569F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入住办理从 5.5 分钟缩短至 1.8 分钟，效率提升 3 倍，支持中英日韩四语种；计划 2026 年底推广至 300 家核心门店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2A2DEC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L3 港客多语种、L2 前台分流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6BDE4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麦当劳中国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22984B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数字人点餐助手，布置于自助终端上方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1BC1D6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覆盖 2,000 余家门店，单次点餐从 90 秒缩短至 45 秒，终端使用率从 35% 提升至 65%，高峰排队时间缩短 40%，单店每年节省约 15 万元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621A10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L2 前台与点餐分流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366E08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首旅如家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5C3F3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AI 数字店长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57C1EC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为旗下 6,300 家酒店提供动态定价与收益管理建议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333F5F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L4 数字店长、L2 时段定价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E4A722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温德姆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3D88B0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部署 250 个 AI Agent，覆盖 580 家酒店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74A38F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处理超 50 万次客户交互，平均通话时长下降 25%，贡献营收提升约 3%，预订转化率提升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7588F6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L3 客服转化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9547F9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某智慧酒店平台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B3EB51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AI 语音客服、数据大屏、智能预测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475F98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上线 4 个月：会员 7.2 万人，会员消费收入增加 270 万元，节省渠道佣金 30 万元，客户咨询响应 10 秒内，人力成本下降 50%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7CC561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全链路映射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467A8A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洗浴行业节能实践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9BE973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智能水循环系统、空气源热泵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03FE6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日均用水量从 35 吨降至 18 吨；能源成本下降 42%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58315F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L2 能耗</w:t>
            </w:r>
          </w:p>
        </w:tc>
      </w:tr>
    </w:tbl>
    <w:p w14:paraId="683FBD65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这些案例共同说明一件事：AI 在 24 小时、多班次、多语种、高能耗、靠服务溢价的场景里，已经有成规模的落地验证。汤泉综合体的经营特征与连锁酒店高度同构——重服务、重排班、24 小时、多语种、可标准化——这让方案的成功率显著高于一般零售业。</w:t>
      </w:r>
    </w:p>
    <w:p w14:paraId="43D8593F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19" w:name="section-5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四、90 天实施路线图</w:t>
      </w:r>
      <w:bookmarkEnd w:id="19"/>
    </w:p>
    <w:p w14:paraId="3D5441BC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三阶段推进，每阶段结束必须有一份决策层看得懂的成果和一笔算得出的账。任一阶段未达标，第二阶段自动暂停——把风险前置，也把信任前置。</w:t>
      </w:r>
    </w:p>
    <w:p w14:paraId="38CC4044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0" w:name="section-5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（一）阶段一：第 1 至 14 天，看清</w:t>
      </w:r>
      <w:bookmarkEnd w:id="20"/>
    </w:p>
    <w:p w14:paraId="12629FBE">
      <w:pPr>
        <w:jc w:val="center"/>
      </w:pPr>
      <w:r>
        <w:rPr>
          <w:rFonts w:hint="eastAsia"/>
          <w:color w:val="888888"/>
          <w:sz w:val="18"/>
        </w:rPr>
        <w:t>表 7　阶段一任务分解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3156"/>
        <w:gridCol w:w="3822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B4AF87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时间</w:t>
            </w:r>
          </w:p>
        </w:tc>
        <w:tc>
          <w:tcPr>
            <w:tcW w:w="31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4AA9EBA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动作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9238CE5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阶段成果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4B0ED8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1 至 3 天</w:t>
            </w:r>
          </w:p>
        </w:tc>
        <w:tc>
          <w:tcPr>
            <w:tcW w:w="31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4CE046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数据底座盘点，系统清单、接口可行性、数据可得性评估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505E2D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《数据可用性与接口评估报告》，明确可做与不可做事项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FBAB52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4 至 7 天</w:t>
            </w:r>
          </w:p>
        </w:tc>
        <w:tc>
          <w:tcPr>
            <w:tcW w:w="31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BE2970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优先打通客流、能耗、评价三条数据链路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BF85EA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三条链路对应收入、成本、口碑，均不依赖收银系统改造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9F217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8 至 14 天</w:t>
            </w:r>
          </w:p>
        </w:tc>
        <w:tc>
          <w:tcPr>
            <w:tcW w:w="31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EAB9BB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L1 舆情与合规看板上线，全渠道监控、负面预警、客诉分级、预付费合规校验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276DA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《第一周经营异常报告》，列出 10 至 20 条具体可执行改进项</w:t>
            </w:r>
          </w:p>
        </w:tc>
      </w:tr>
    </w:tbl>
    <w:p w14:paraId="77DE175A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1" w:name="section-5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（二）阶段二：第 15 至 50 天，省钱</w:t>
      </w:r>
      <w:bookmarkEnd w:id="21"/>
    </w:p>
    <w:p w14:paraId="5A63A0AE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这一阶段是付费试点的主战场，议题顺序即优先级。</w:t>
      </w:r>
    </w:p>
    <w:p w14:paraId="5C1D3D08">
      <w:pPr>
        <w:jc w:val="center"/>
      </w:pPr>
      <w:r>
        <w:rPr>
          <w:rFonts w:hint="eastAsia"/>
          <w:color w:val="888888"/>
          <w:sz w:val="18"/>
        </w:rPr>
        <w:t>表 8　阶段二任务分解与验收标准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3322"/>
        <w:gridCol w:w="3656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7E1E112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时间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EDE712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动作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50CCC2F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验收标准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A3F5B7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15 至 25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AD84D3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能耗专项：分项能耗采集、负荷预测模型、泡池与汗蒸与空调与厨房分级调度，先低峰试点再全量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64FE05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单位客次能耗下降不低于 12%，且客诉不上升、服务品质不掉，两条为硬约束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F7C614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20 至 35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D6E8A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排班与排钟引擎：规则引擎配置、客流联动排班、技师上钟与绩效自动核算、流失预警，同步开展服务话术 AI 陪练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161563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技师月流失率下降 8 个百分点以上；需提前与技师团队沟通，避免被解读为监工工具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863B71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30 至 50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FF1033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多语种数字前台与港客链路：简繁英日韩语 AI 前台与客服、预约与排队、行李寄存引导、口岸通关时长预测、跨境内容矩阵启动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BAAF60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非中文咨询应答时长不超过 15 秒，港客相关咨询自动分流率不低于 70%</w:t>
            </w:r>
          </w:p>
        </w:tc>
      </w:tr>
    </w:tbl>
    <w:p w14:paraId="3F370E5B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2" w:name="section-5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（三）阶段三：第 51 至 90 天，赚钱</w:t>
      </w:r>
      <w:bookmarkEnd w:id="22"/>
    </w:p>
    <w:p w14:paraId="3D7EE75B">
      <w:pPr>
        <w:jc w:val="center"/>
      </w:pPr>
      <w:r>
        <w:rPr>
          <w:rFonts w:hint="eastAsia"/>
          <w:color w:val="888888"/>
          <w:sz w:val="18"/>
        </w:rPr>
        <w:t>表 9　阶段三任务分解与验收标准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3322"/>
        <w:gridCol w:w="3656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59138D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时间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2BD96DF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动作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546DA67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验收标准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F9A659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51 至 70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527FCB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会员画像与自动营销：360 度画像、标签体系、沉睡客唤醒、高毛利项目推荐、团建与商旅渠道对接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E54878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老客复购率提升 5 个百分点以上，沉睡会员召回率不低于 8%，高毛利加单占比提升 4 个百分点以上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15580A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60 至 80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EDC83A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口碑资产运营：到店即时评价邀约设计、差评根因归集、AI 辅助回复经人工确认、平台内容与投放优化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3A1312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评价数不低于 150 条，均分不低于 4.5，自然搜索流量提升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6ED0F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75 至 90 天</w:t>
            </w:r>
          </w:p>
        </w:tc>
        <w:tc>
          <w:tcPr>
            <w:tcW w:w="33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1E8098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经营驾驶舱交付与团队交接：决策层移动端三张报表、店长与运营团队培训、建立内部 AI 值班机制</w:t>
            </w:r>
          </w:p>
        </w:tc>
        <w:tc>
          <w:tcPr>
            <w:tcW w:w="365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4CE5BE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决策层连续 14 天自主查看，店长能独立处理 80% 日常告警</w:t>
            </w:r>
          </w:p>
        </w:tc>
      </w:tr>
    </w:tbl>
    <w:p w14:paraId="23879A46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3" w:name="section-5-4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（四）90 天之后</w:t>
      </w:r>
      <w:bookmarkEnd w:id="23"/>
    </w:p>
    <w:p w14:paraId="30B4EA56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进入年度运营期，按月产出《AI 经营月报》，含成本节流、收入增益、风险事件三张表，并因地制宜扩展至集团旗下其他门店。对多门店运营的集团型客户而言，这才是本方案最完整的价值：一次验证，八城复制。</w:t>
      </w:r>
    </w:p>
    <w:p w14:paraId="203DB2A3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24" w:name="section-6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五、投入产出测算</w:t>
      </w:r>
      <w:bookmarkEnd w:id="24"/>
    </w:p>
    <w:p w14:paraId="79D80F23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以下测算基于公开行业数据与行业均值推演，用于说明方法与量级，不作为承诺值。正式报价前必须用门店真实账单、客流与人力数据校准，并出具《ROI 测算确认单》，双方签字后生效。</w:t>
      </w:r>
    </w:p>
    <w:p w14:paraId="573AED15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5" w:name="section-6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（一）成本侧：能省多少</w:t>
      </w:r>
      <w:bookmarkEnd w:id="25"/>
    </w:p>
    <w:p w14:paraId="029BC5BE">
      <w:pPr>
        <w:jc w:val="center"/>
      </w:pPr>
      <w:r>
        <w:rPr>
          <w:rFonts w:hint="eastAsia"/>
          <w:color w:val="888888"/>
          <w:sz w:val="18"/>
        </w:rPr>
        <w:t>表 10　成本侧测算</w:t>
      </w:r>
    </w:p>
    <w:tbl>
      <w:tblPr>
        <w:tblW w:w="8306" w:type="dxa"/>
        <w:shd w:color="212121"/>
        <w:tblLayout w:type="autofit"/>
        <w:tblCellMar/>
      </w:tblPr>
      <w:tblGrid>
        <w:gridCol w:w="1661"/>
        <w:gridCol w:w="1162"/>
        <w:gridCol w:w="996"/>
        <w:gridCol w:w="1162"/>
        <w:gridCol w:w="1162"/>
        <w:gridCol w:w="1827"/>
      </w:tblGrid>
      <w:tr>
        <w:trPr>
          <w:tblHeader w:val="1"/>
        </w:trPr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9F351F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项目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29C8D33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月基数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454CA025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改善幅度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E612AE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月节省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711333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年节省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59CED85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行业依据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2FFAB7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能耗（占成本 38%）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85CA4A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90 至 110 万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E9D81A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下降 12%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14A6C0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10.8 至 13.2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F84869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130 至 158 万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4B816D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智能水循环降用水 49%、热泵降能耗 42%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3D8294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人力（占成本 25%）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3CBDA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60 至 72 万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3859A2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下降 8%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45CDB8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4.8 至 5.8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8E81A3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58 至 69 万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A3E6DC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AI 语音客服人力下降 50%、排班优化减少空钟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47F414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日耗与损耗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8D750F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22 至 27 万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A04946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下降 10%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37D4FB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2.2 至 2.7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7E8200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26 至 32 万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71CF1F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采购预测、布草周转、食材损耗管控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15DB57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营销费效率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5F62AC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18 至 25 万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7374A5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下降 25%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89E3B6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4.5 至 6.3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CF1CA1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54 至 75 万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0C6DB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内容工厂替代外采、私域替代付费获客</w:t>
            </w:r>
          </w:p>
        </w:tc>
      </w:tr>
      <w:tr>
        <w:trPr/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CCB90B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成本侧合计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66304E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—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9049EE6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—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64DB7F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22.3 至 28.0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F0478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268 至 334 万</w:t>
            </w:r>
          </w:p>
        </w:tc>
        <w:tc>
          <w:tcPr>
            <w:tcW w:w="1827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2F61E6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直接进入损益表的净利</w:t>
            </w:r>
          </w:p>
        </w:tc>
      </w:tr>
    </w:tbl>
    <w:p w14:paraId="5D059A7C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6" w:name="section-6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（二）收入侧：能多赚多少</w:t>
      </w:r>
      <w:bookmarkEnd w:id="26"/>
    </w:p>
    <w:p w14:paraId="5FB83276">
      <w:pPr>
        <w:jc w:val="center"/>
      </w:pPr>
      <w:r>
        <w:rPr>
          <w:rFonts w:hint="eastAsia"/>
          <w:color w:val="888888"/>
          <w:sz w:val="18"/>
        </w:rPr>
        <w:t>表 11　收入侧测算（保守口径）</w:t>
      </w:r>
    </w:p>
    <w:tbl>
      <w:tblPr>
        <w:tblW w:w="8306" w:type="dxa"/>
        <w:shd w:color="212121"/>
        <w:tblLayout w:type="autofit"/>
        <w:tblCellMar/>
      </w:tblPr>
      <w:tblGrid>
        <w:gridCol w:w="1495"/>
        <w:gridCol w:w="2491"/>
        <w:gridCol w:w="1162"/>
        <w:gridCol w:w="1162"/>
        <w:gridCol w:w="1993"/>
      </w:tblGrid>
      <w:tr>
        <w:trPr>
          <w:tblHeader w:val="1"/>
        </w:trPr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083EBB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杠杆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D73439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作用机制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4611A6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月增收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3116CBC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年增收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49C598D5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参考基准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A36DD4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高毛利加单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0F618E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基于消费轨迹推荐理疗、搓、餐食，替代全员群发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6C58C1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8 至 14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834CE1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96 至 168 万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B6111F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会员消费收入增加 270 万，4 个月 13 店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4E1325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复购提升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07E83E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老客复购提升 5 个百分点，减少高成本新客替换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6A1747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6 至 10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12A28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72 至 120 万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F4A856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新客成本为老客维护的 5 至 7 倍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972A0E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口碑与流量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F1CEF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评价数与评分提升带来的免费自然流量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F17E75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 至 8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3FCEEA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48 至 96 万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454D50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AI Agent 贡献营收提升约 3%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1D36CF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港客增量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A3D7B3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跨境链路打通后的增量订单，不挤占本地客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ED844C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10 至 20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1FFB9B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120 至 240 万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8A9CE8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口岸周末日均 22 万人次，客群天花板高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B616F8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收入侧合计</w:t>
            </w:r>
          </w:p>
        </w:tc>
        <w:tc>
          <w:tcPr>
            <w:tcW w:w="249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C04D737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—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A3DF9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28 至 52 万</w:t>
            </w:r>
          </w:p>
        </w:tc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B78D6D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336 至 624 万</w:t>
            </w:r>
          </w:p>
        </w:tc>
        <w:tc>
          <w:tcPr>
            <w:tcW w:w="199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B0CB9B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毛利按 45% 至 55% 折算</w:t>
            </w:r>
          </w:p>
        </w:tc>
      </w:tr>
    </w:tbl>
    <w:p w14:paraId="4EA72AEE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7" w:name="section-6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（三）综合回报</w:t>
      </w:r>
      <w:bookmarkEnd w:id="27"/>
    </w:p>
    <w:p w14:paraId="1C84BA69">
      <w:pPr>
        <w:jc w:val="center"/>
      </w:pPr>
      <w:r>
        <w:rPr>
          <w:rFonts w:hint="eastAsia"/>
          <w:color w:val="888888"/>
          <w:sz w:val="18"/>
        </w:rPr>
        <w:t>表 12　综合回报</w:t>
      </w:r>
    </w:p>
    <w:tbl>
      <w:tblPr>
        <w:tblW w:w="8306" w:type="dxa"/>
        <w:shd w:color="212121"/>
        <w:tblLayout w:type="autofit"/>
        <w:tblCellMar/>
      </w:tblPr>
      <w:tblGrid>
        <w:gridCol w:w="2824"/>
        <w:gridCol w:w="2159"/>
        <w:gridCol w:w="3323"/>
      </w:tblGrid>
      <w:tr>
        <w:trPr>
          <w:tblHeader w:val="1"/>
        </w:trPr>
        <w:tc>
          <w:tcPr>
            <w:tcW w:w="282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7E0D837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指标</w:t>
            </w:r>
          </w:p>
        </w:tc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EC57BF5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数值</w:t>
            </w:r>
          </w:p>
        </w:tc>
        <w:tc>
          <w:tcPr>
            <w:tcW w:w="332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6160404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说明</w:t>
            </w:r>
          </w:p>
        </w:tc>
      </w:tr>
      <w:tr>
        <w:trPr/>
        <w:tc>
          <w:tcPr>
            <w:tcW w:w="282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55603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年综合价值</w:t>
            </w:r>
          </w:p>
        </w:tc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BBA0A6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604 至 958 万</w:t>
            </w:r>
          </w:p>
        </w:tc>
        <w:tc>
          <w:tcPr>
            <w:tcW w:w="332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5E9B0D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其中成本节流 268 至 334 万，确定性最高</w:t>
            </w:r>
          </w:p>
        </w:tc>
      </w:tr>
      <w:tr>
        <w:trPr/>
        <w:tc>
          <w:tcPr>
            <w:tcW w:w="282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A07C02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以 68 万投入计的年回报倍数</w:t>
            </w:r>
          </w:p>
        </w:tc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304C10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8.9 至 14.1 倍</w:t>
            </w:r>
          </w:p>
        </w:tc>
        <w:tc>
          <w:tcPr>
            <w:tcW w:w="332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9CD699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需以真实数据校准后对赌</w:t>
            </w:r>
          </w:p>
        </w:tc>
      </w:tr>
      <w:tr>
        <w:trPr/>
        <w:tc>
          <w:tcPr>
            <w:tcW w:w="282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EAA0C1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保守情形，仅计成本侧</w:t>
            </w:r>
          </w:p>
        </w:tc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A2A14E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3.9 倍</w:t>
            </w:r>
          </w:p>
        </w:tc>
        <w:tc>
          <w:tcPr>
            <w:tcW w:w="332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0A86BC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只算确定能发生的部分</w:t>
            </w:r>
          </w:p>
        </w:tc>
      </w:tr>
      <w:tr>
        <w:trPr/>
        <w:tc>
          <w:tcPr>
            <w:tcW w:w="282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C59DBC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回本周期</w:t>
            </w:r>
          </w:p>
        </w:tc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DE0D4B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约 3 个月</w:t>
            </w:r>
          </w:p>
        </w:tc>
        <w:tc>
          <w:tcPr>
            <w:tcW w:w="3323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DCF65B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按保守情形测算，试点期内即可回本</w:t>
            </w:r>
          </w:p>
        </w:tc>
      </w:tr>
    </w:tbl>
    <w:p w14:paraId="70457C0F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28" w:name="section-6-4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（四）关于这张表怎么讲才不显得夸大</w:t>
      </w:r>
      <w:bookmarkEnd w:id="28"/>
    </w:p>
    <w:p w14:paraId="6560C72E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b w:val="1"/>
          <w:color w:val="1a237e"/>
          <w:sz w:val="24"/>
        </w:rPr>
        <w:t>主动区分确定与不确定：</w:t>
      </w:r>
      <w:r>
        <w:rPr>
          <w:rFonts w:hint="eastAsia" w:ascii="SimSun" w:hAnsi="SimSun" w:eastAsia="SimSun" w:cs="SimSun"/>
          <w:color w:val="212121"/>
          <w:sz w:val="24"/>
        </w:rPr>
        <w:t>这 604 至 958 万里，268 至 334 万是省下来的成本，这部分可以签对赌；剩下的收入增量，只承诺过程指标，不敢承诺数字——因为天气和口岸通关不是服务商能控制的。把确定的和不确定的分开讲，是这份方案可信度最高的地方，也是最容易签成的一单。</w:t>
      </w:r>
    </w:p>
    <w:p w14:paraId="7337E72A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29" w:name="section-7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六、风险与边界</w:t>
      </w:r>
      <w:bookmarkEnd w:id="29"/>
    </w:p>
    <w:p w14:paraId="2A32F53B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主动披露风险，比被问出来更可信。本章建议在正式方案中原样保留。</w:t>
      </w:r>
    </w:p>
    <w:p w14:paraId="1E53FC58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0" w:name="section-7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（一）风险清单与应对</w:t>
      </w:r>
      <w:bookmarkEnd w:id="30"/>
    </w:p>
    <w:p w14:paraId="53E8FAC9">
      <w:pPr>
        <w:jc w:val="center"/>
      </w:pPr>
      <w:r>
        <w:rPr>
          <w:rFonts w:hint="eastAsia"/>
          <w:color w:val="888888"/>
          <w:sz w:val="18"/>
        </w:rPr>
        <w:t>表 13　风险与应对</w:t>
      </w:r>
    </w:p>
    <w:tbl>
      <w:tblPr>
        <w:tblW w:w="8306" w:type="dxa"/>
        <w:shd w:color="212121"/>
        <w:tblLayout w:type="autofit"/>
        <w:tblCellMar/>
      </w:tblPr>
      <w:tblGrid>
        <w:gridCol w:w="2159"/>
        <w:gridCol w:w="996"/>
        <w:gridCol w:w="5151"/>
      </w:tblGrid>
      <w:tr>
        <w:trPr>
          <w:tblHeader w:val="1"/>
        </w:trPr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588C584F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风险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1A1BA4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等级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94DDBC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应对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767B82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数据打不通，老系统不开放接口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A8FFAF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B5D44A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1 至 3 天完成接口可行性评估，不通过的项目当场移出方案并调整报价；可用 OCR、RFID 等替代采集方式兜底，但会明确告知精度损失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EC75D1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技师团队抵触，排班透明化被解读为监工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5E0D0B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A1E31B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推进前先做两场技师沟通会，强调排钟公平化是保护技师不被人情牌压榨；规则由技师团队共同确认，AI 只做执行与核算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EBFD77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服务质量下滑，为省电降配被客户感知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304181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高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9C548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所有能耗优化措施须通过客诉率不上升、满意度不下降双阈值验证，未达标立即回滚。省电不能省出体验，是本方案的硬约束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BCF73B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过度依赖 AI 客服，丧失温度感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037BB1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中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B13A8F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保留一键转真人与适老化流程；AI 处理标准化请求，复杂投诉与高价值客户由真人承接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D0477D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管理层不重视，投入后不看导致荒废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2B9BFB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中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820EB3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看板设计以决策层每天早上三分钟为标准；设置周度简报机制与连续 14 天未查看则暂停服务机制，让不用的成本显性化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8CB3CC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行业舆情风险，洗浴行业天然敏感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FEAC2C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极高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E11D42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系统内置红线词库与内容审核；不生成任何擦边文案与话术；不介入任何违规经营设计；合同中明确写入即终止条款</w:t>
            </w:r>
          </w:p>
        </w:tc>
      </w:tr>
      <w:tr>
        <w:trPr/>
        <w:tc>
          <w:tcPr>
            <w:tcW w:w="2159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1AF8E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预付费合规红线</w:t>
            </w:r>
          </w:p>
        </w:tc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73256D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极高</w:t>
            </w:r>
          </w:p>
        </w:tc>
        <w:tc>
          <w:tcPr>
            <w:tcW w:w="515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20E4BA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系统内置 5,000 元阈值校验，超限方案自动拦截并提供次卡、单次等合规替代方案</w:t>
            </w:r>
          </w:p>
        </w:tc>
      </w:tr>
    </w:tbl>
    <w:p w14:paraId="76C76203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31" w:name="section-8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七、服务方案与报价</w:t>
      </w:r>
      <w:bookmarkEnd w:id="31"/>
    </w:p>
    <w:p w14:paraId="6DA18FEF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核心设计：选项 A 零门槛进门，选项 B 以自付费证明价值，选项 C 才是长期合作。永远只呈现选项，不呈现打包总价。</w:t>
      </w:r>
    </w:p>
    <w:p w14:paraId="5B84F82A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2" w:name="section-8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（一）三档合作方案</w:t>
      </w:r>
      <w:bookmarkEnd w:id="32"/>
    </w:p>
    <w:p w14:paraId="4677DE04">
      <w:pPr>
        <w:jc w:val="center"/>
      </w:pPr>
      <w:r>
        <w:rPr>
          <w:rFonts w:hint="eastAsia"/>
          <w:color w:val="888888"/>
          <w:sz w:val="18"/>
        </w:rPr>
        <w:t>表 14　三档合作方案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1495"/>
        <w:gridCol w:w="3822"/>
        <w:gridCol w:w="1661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F164002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方案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28EC18F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周期与费用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BCD71A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内容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429E56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作用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42ABCE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A 先看清楚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41C145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14 天</w:t>
            </w:r>
            <w:r>
              <w:br w:type="textWrapping"/>
            </w:r>
            <w:r>
              <w:rPr>
                <w:rFonts w:hint="eastAsia" w:ascii="SimSun" w:hAnsi="SimSun" w:eastAsia="SimSun" w:cs="SimSun"/>
                <w:color w:val="212121"/>
                <w:sz w:val="21"/>
              </w:rPr>
              <w:t>免费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34B115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《线上经营诊断报告》与当面讲解；数据底座盘点与《数据可用性与接口评估报告》；客流、能耗、评价三条数据链路打通；L1 舆情与合规看板；经营看板第一版；《第一周经营异常报告》；《ROI 测算确认单》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5E182A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进门、拿到数据权限、建立可信度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5F73A3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B 先省下钱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E9E63F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30 天</w:t>
            </w:r>
            <w:r>
              <w:br w:type="textWrapping"/>
            </w:r>
            <w:r>
              <w:rPr>
                <w:rFonts w:hint="eastAsia" w:ascii="SimSun" w:hAnsi="SimSun" w:eastAsia="SimSun" w:cs="SimSun"/>
                <w:color w:val="212121"/>
                <w:sz w:val="21"/>
              </w:rPr>
              <w:t>2.98 万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B0421E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包含选项 A 全部内容，另加能耗专项、排班排钟引擎、多语种数字前台；《能耗与排班优化专项报告》；对赌条款：单位客次能耗未降 12% 以上或客诉率上升，全额退款并免费做到达标；费用可全额抵扣选项 C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1CB3AF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让决策层亲眼看到省下来的钱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1EBD2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C 先多赚钱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6A0736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90 天上线</w:t>
            </w:r>
            <w:r>
              <w:br w:type="textWrapping"/>
            </w:r>
            <w:r>
              <w:rPr>
                <w:rFonts w:hint="eastAsia" w:ascii="SimSun" w:hAnsi="SimSun" w:eastAsia="SimSun" w:cs="SimSun"/>
                <w:color w:val="212121"/>
                <w:sz w:val="21"/>
              </w:rPr>
              <w:t>+ 年度运营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FD6B33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包含选项 B 全部内容，另加 L3 会员与营销、跨境链路全套、口碑资产运营、AI 数字店长、跨门店复制；《AI 经营月报》月产出、店长与运营团队培训、内部值班机制；季度对赌：能耗占比、复购率、评价量与均分三项，任一未达标按比例减免季度费用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BB9C26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长期合作与集团复制</w:t>
            </w:r>
          </w:p>
        </w:tc>
      </w:tr>
    </w:tbl>
    <w:p w14:paraId="684B1847">
      <w:pPr>
        <w:jc w:val="center"/>
      </w:pPr>
      <w:r>
        <w:rPr>
          <w:rFonts w:hint="eastAsia"/>
          <w:color w:val="888888"/>
          <w:sz w:val="18"/>
        </w:rPr>
        <w:t>表 15　选项 C 分层与年费</w:t>
      </w:r>
    </w:p>
    <w:tbl>
      <w:tblPr>
        <w:tblW w:w="8306" w:type="dxa"/>
        <w:shd w:color="212121"/>
        <w:tblLayout w:type="autofit"/>
        <w:tblCellMar/>
      </w:tblPr>
      <w:tblGrid>
        <w:gridCol w:w="1495"/>
        <w:gridCol w:w="1328"/>
        <w:gridCol w:w="3822"/>
        <w:gridCol w:w="1661"/>
      </w:tblGrid>
      <w:tr>
        <w:trPr>
          <w:tblHeader w:val="1"/>
        </w:trPr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60ABF9C9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分层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B9225D3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年费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12F2B5A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包含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040C76A0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建议主推场景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4362E1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C1 基础版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BC51F3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28 万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E4DE9B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L1 与 L2 全量：合规看板、能耗、排班、数字前台、经营看板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00C35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成本压降优先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BD3E8F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C2 增长版（主推）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E3B835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48 万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9CD6A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C1 加 L3 会员与营销、口碑资产运营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9C7120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复购与口碑优先</w:t>
            </w:r>
          </w:p>
        </w:tc>
      </w:tr>
      <w:tr>
        <w:trPr/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9FF39B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C3 旗舰版</w:t>
            </w:r>
          </w:p>
        </w:tc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C0E319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68 万</w:t>
            </w:r>
          </w:p>
        </w:tc>
        <w:tc>
          <w:tcPr>
            <w:tcW w:w="382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EFCC64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C2 加跨境链路全套、AI 数字店长、跨门店复制</w:t>
            </w:r>
          </w:p>
        </w:tc>
        <w:tc>
          <w:tcPr>
            <w:tcW w:w="1661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81B847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集团型客户，八城复制</w:t>
            </w:r>
          </w:p>
        </w:tc>
      </w:tr>
    </w:tbl>
    <w:p w14:paraId="17F21E9D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3" w:name="section-8-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（二）报价纪律</w:t>
      </w:r>
      <w:bookmarkEnd w:id="33"/>
    </w:p>
    <w:p w14:paraId="0357D01F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永远先报节能数，再报服务费。让省下来的钱先出现在对话里。</w:t>
      </w:r>
    </w:p>
    <w:p w14:paraId="3F339AC9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不打折，改结构。客户要降价时缩范围，不降单价——降价会让人怀疑原本在虚报。</w:t>
      </w:r>
    </w:p>
    <w:p w14:paraId="3029F531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年费按层卖，不打包。让决策层自己选想解决哪一层。</w:t>
      </w:r>
    </w:p>
    <w:p w14:paraId="4C960716">
      <w:pPr>
        <w:numPr>
          <w:ilvl w:val="0"/>
          <w:numId w:val="1"/>
        </w:numPr>
        <w:pBdr>
          <w:left w:space="26"/>
        </w:pBdr>
        <w:spacing w:after="60" w:line="396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不承诺营收，只承诺过程指标加季度对赌。</w:t>
      </w:r>
    </w:p>
    <w:p w14:paraId="3EB6B663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4" w:name="section-8-3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（三）验收标准汇总</w:t>
      </w:r>
      <w:bookmarkEnd w:id="34"/>
    </w:p>
    <w:p w14:paraId="2569D831">
      <w:pPr>
        <w:jc w:val="center"/>
      </w:pPr>
      <w:r>
        <w:rPr>
          <w:rFonts w:hint="eastAsia"/>
          <w:color w:val="888888"/>
          <w:sz w:val="18"/>
        </w:rPr>
        <w:t>表 16　各层验收指标</w:t>
      </w:r>
    </w:p>
    <w:tbl>
      <w:tblPr>
        <w:tblW w:w="8306" w:type="dxa"/>
        <w:shd w:color="212121"/>
        <w:tblLayout w:type="autofit"/>
        <w:tblCellMar/>
      </w:tblPr>
      <w:tblGrid>
        <w:gridCol w:w="1162"/>
        <w:gridCol w:w="7144"/>
      </w:tblGrid>
      <w:tr>
        <w:trPr>
          <w:tblHeader w:val="1"/>
        </w:trPr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204467B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层级</w:t>
            </w:r>
          </w:p>
        </w:tc>
        <w:tc>
          <w:tcPr>
            <w:tcW w:w="714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53C4E5C7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关键验收指标</w:t>
            </w:r>
          </w:p>
        </w:tc>
      </w:tr>
      <w:tr>
        <w:trPr/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AD37C39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L1</w:t>
            </w:r>
          </w:p>
        </w:tc>
        <w:tc>
          <w:tcPr>
            <w:tcW w:w="714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117F42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负面舆情发现时延 30 分钟内；预付卡合规率 100%；客诉 24 小时闭环率 90% 以上</w:t>
            </w:r>
          </w:p>
        </w:tc>
      </w:tr>
      <w:tr>
        <w:trPr/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83F627A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L2</w:t>
            </w:r>
          </w:p>
        </w:tc>
        <w:tc>
          <w:tcPr>
            <w:tcW w:w="714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FDDD48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单位客次能耗下降 12% 以上；能耗占营收比 33% 以内；技师月流失率下降 8 个百分点；非中文咨询应答 15 秒内</w:t>
            </w:r>
          </w:p>
        </w:tc>
      </w:tr>
      <w:tr>
        <w:trPr/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6B69D02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L3</w:t>
            </w:r>
          </w:p>
        </w:tc>
        <w:tc>
          <w:tcPr>
            <w:tcW w:w="714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B2AE12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老客复购率提升 5 个百分点；沉睡会员召回率 8% 以上；高毛利加单占比提升 4 个百分点；评价数 150 条以上且均分 4.5 以上</w:t>
            </w:r>
          </w:p>
        </w:tc>
      </w:tr>
      <w:tr>
        <w:trPr/>
        <w:tc>
          <w:tcPr>
            <w:tcW w:w="1162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26969F1">
            <w:pPr>
              <w:jc w:val="left"/>
              <w:rPr>
                <w:color w:val="212121"/>
              </w:rPr>
            </w:pPr>
            <w:r>
              <w:rPr>
                <w:rFonts w:ascii="SimSun" w:hAnsi="SimSun" w:eastAsia="SimSun" w:cs="SimSun"/>
                <w:color w:val="212121"/>
                <w:sz w:val="21"/>
              </w:rPr>
              <w:t>L4</w:t>
            </w:r>
          </w:p>
        </w:tc>
        <w:tc>
          <w:tcPr>
            <w:tcW w:w="7144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50C67E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决策层连续 14 天自主查看；店长独立处理 80% 日常告警</w:t>
            </w:r>
          </w:p>
        </w:tc>
      </w:tr>
    </w:tbl>
    <w:p w14:paraId="46A04F51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35" w:name="section-9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八、交付物清单</w:t>
      </w:r>
      <w:bookmarkEnd w:id="35"/>
    </w:p>
    <w:p w14:paraId="1561C8FC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6" w:name="section-9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（一）交付物</w:t>
      </w:r>
      <w:bookmarkEnd w:id="36"/>
    </w:p>
    <w:p w14:paraId="26CB3E4C">
      <w:pPr>
        <w:jc w:val="center"/>
      </w:pPr>
      <w:r>
        <w:rPr>
          <w:rFonts w:hint="eastAsia"/>
          <w:color w:val="888888"/>
          <w:sz w:val="18"/>
        </w:rPr>
        <w:t>表 17　交付物清单</w:t>
      </w:r>
    </w:p>
    <w:tbl>
      <w:tblPr>
        <w:tblW w:w="8306" w:type="dxa"/>
        <w:shd w:color="212121"/>
        <w:tblLayout w:type="autofit"/>
        <w:tblCellMar/>
      </w:tblPr>
      <w:tblGrid>
        <w:gridCol w:w="996"/>
        <w:gridCol w:w="2325"/>
        <w:gridCol w:w="3490"/>
        <w:gridCol w:w="1495"/>
      </w:tblGrid>
      <w:tr>
        <w:trPr>
          <w:tblHeader w:val="1"/>
        </w:trPr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5E2B5DD2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阶段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313B1226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交付物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E046460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说明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2760CA2A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形式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E122CF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诊断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5BC638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《线上经营诊断报告》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8203D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公开数据对标、评价语义拆解、内容与渠道空白分析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F9A9C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PDF 加 15 分钟讲解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5D91D4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诊断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99BDF6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《数据可用性与接口评估报告》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CDD408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系统盘点、接口清单、可做与不可做项、替代方案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97E799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PDF 加系统对接表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267F5E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诊断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96908B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《ROI 测算确认单》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E847BB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以门店真实账单校准，双方签字生效，作为对赌依据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20BAB2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双方盖章件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B6B52E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试点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261D83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《第一周经营异常报告》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A8CBF5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10 至 20 条可执行改进项，按成本、收入、风险三类归集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560274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PDF 加现场讲解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E323F4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试点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AD2B4B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L1 舆情合规看板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D92788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多平台监控、预警推送、客诉分级、预付合规校验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7590C10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Web 端加企微与短信推送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8BF53E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试点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3F62AD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《能耗与排班优化专项报告》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8923DD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分项能耗基线、调度策略、试运行前后对比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4F3A6A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PDF 加数据看板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D203CE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DD2E79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多语种数字前台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F201E3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简繁英日韩语客服与预约，一键转真人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B4FD56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小程序加企微加大屏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3B79E3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B19444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会员画像与自动营销引擎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0BB4BA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标签体系、分群规则、触达链路、效果归因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24B7B9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后台加自动化规则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B72E23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FF26281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经营驾驶舱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9CFA4D6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决策层移动端三张报表：今日经营、异常与建议、周期趋势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80C874A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移动端加周报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0E94E5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B72473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《AI 经营月报》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50AB353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成本节流、收入增益、风险事件三张表，按月出具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5123D8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PDF 加会议复盘</w:t>
            </w:r>
          </w:p>
        </w:tc>
      </w:tr>
      <w:tr>
        <w:trPr/>
        <w:tc>
          <w:tcPr>
            <w:tcW w:w="996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C05853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全案</w:t>
            </w:r>
          </w:p>
        </w:tc>
        <w:tc>
          <w:tcPr>
            <w:tcW w:w="232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DEF2BBD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《门店 AI 运营手册》与培训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2D92415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店长与运营团队培训、异常处理 SOP、内部值班机制</w:t>
            </w:r>
          </w:p>
        </w:tc>
        <w:tc>
          <w:tcPr>
            <w:tcW w:w="1495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3DA009E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手册加两场培训</w:t>
            </w:r>
          </w:p>
        </w:tc>
      </w:tr>
    </w:tbl>
    <w:p w14:paraId="63FB966B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37" w:name="section-10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九、启动计划</w:t>
      </w:r>
      <w:bookmarkEnd w:id="37"/>
    </w:p>
    <w:p w14:paraId="1DC4A6F7">
      <w:pPr>
        <w:pStyle w:val="000002"/>
        <w:keepNext w:val="1"/>
        <w:keepLines w:val="1"/>
        <w:pBdr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38" w:name="section-10-1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（一）启动节奏</w:t>
      </w:r>
      <w:bookmarkEnd w:id="38"/>
    </w:p>
    <w:p w14:paraId="43E0071B">
      <w:pPr>
        <w:jc w:val="center"/>
      </w:pPr>
      <w:r>
        <w:rPr>
          <w:rFonts w:hint="eastAsia"/>
          <w:color w:val="888888"/>
          <w:sz w:val="18"/>
        </w:rPr>
        <w:t>表 18　启动计划</w:t>
      </w:r>
    </w:p>
    <w:tbl>
      <w:tblPr>
        <w:tblW w:w="8306" w:type="dxa"/>
        <w:shd w:color="212121"/>
        <w:tblLayout w:type="autofit"/>
        <w:tblCellMar/>
      </w:tblPr>
      <w:tblGrid>
        <w:gridCol w:w="1328"/>
        <w:gridCol w:w="3488"/>
        <w:gridCol w:w="3490"/>
      </w:tblGrid>
      <w:tr>
        <w:trPr>
          <w:tblHeader w:val="1"/>
        </w:trPr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44C5A71D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周期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D29771F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动作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5f7fa"/>
            <w:tcMar>
              <w:top w:w="96" w:type="dxa"/>
              <w:left w:w="120" w:type="dxa"/>
              <w:bottom w:w="96" w:type="dxa"/>
              <w:right w:w="120" w:type="dxa"/>
            </w:tcMar>
            <w:vAlign w:val="center"/>
          </w:tcPr>
          <w:p w14:paraId="7616C719">
            <w:pPr>
              <w:jc w:val="left"/>
              <w:rPr>
                <w:b w:val="1"/>
                <w:bCs w:val="1"/>
                <w:color w:val="1a237e"/>
              </w:rPr>
            </w:pPr>
            <w:r>
              <w:rPr>
                <w:rFonts w:hint="eastAsia" w:ascii="SimSun" w:hAnsi="SimSun" w:eastAsia="SimSun" w:cs="SimSun"/>
                <w:b w:val="1"/>
                <w:color w:val="1a237e"/>
                <w:sz w:val="21"/>
              </w:rPr>
              <w:t>目标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0572725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1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8D24C3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核实标的：项目实际运营方、投资方背景、决策人、现有系统清单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58BF39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锁定方案基准，避免用错数据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7CCB39F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2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704B52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制作《线上经营诊断报告》，同步备好同行公开数字锚点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70FCDA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产出敲门砖材料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1AF2ECB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3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A95F452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破冰接触，完成首场沟通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427CBE1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拿到见运营负责人的机会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5D25C1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4 至 6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EF96198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交付选项 A 全部内容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97CEAA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必须让决策层亲自看过一次看板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62564354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7 至 10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6392AD3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执行选项 B 付费试点，每周到场一次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0F601D19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让省下来的钱被亲眼看到</w:t>
            </w:r>
          </w:p>
        </w:tc>
      </w:tr>
      <w:tr>
        <w:trPr/>
        <w:tc>
          <w:tcPr>
            <w:tcW w:w="132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6200C7C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第 11 至 13 周</w:t>
            </w:r>
          </w:p>
        </w:tc>
        <w:tc>
          <w:tcPr>
            <w:tcW w:w="3488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12D5CC77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出具试点对赌报告，谈选项 C</w:t>
            </w:r>
          </w:p>
        </w:tc>
        <w:tc>
          <w:tcPr>
            <w:tcW w:w="3490" w:type="dxa"/>
            <w:tcBorders>
              <w:top w:val="single" w:color="cfd8dc" w:sz="6"/>
              <w:left w:val="single" w:color="cfd8dc" w:sz="6"/>
              <w:bottom w:val="single" w:color="cfd8dc" w:sz="6"/>
              <w:right w:val="single" w:color="cfd8dc" w:sz="6"/>
            </w:tcBorders>
            <w:shd w:val="clear" w:fill="ffffff"/>
            <w:tcMar>
              <w:top w:w="96" w:type="dxa"/>
              <w:left w:w="120" w:type="dxa"/>
              <w:bottom w:w="96" w:type="dxa"/>
              <w:right w:w="120" w:type="dxa"/>
            </w:tcMar>
            <w:vAlign w:val="top"/>
          </w:tcPr>
          <w:p w14:paraId="79B67F2E">
            <w:pPr>
              <w:jc w:val="left"/>
              <w:rPr>
                <w:color w:val="212121"/>
              </w:rPr>
            </w:pPr>
            <w:r>
              <w:rPr>
                <w:rFonts w:hint="eastAsia" w:ascii="SimSun" w:hAnsi="SimSun" w:eastAsia="SimSun" w:cs="SimSun"/>
                <w:color w:val="212121"/>
                <w:sz w:val="21"/>
              </w:rPr>
              <w:t>用真实数据，不用行业均值</w:t>
            </w:r>
          </w:p>
        </w:tc>
      </w:tr>
    </w:tbl>
    <w:p w14:paraId="36F75DCB">
      <w:pPr>
        <w:spacing w:after="132" w:line="396"/>
        <w:ind w:firstLine="480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三个月后应形成：一份可对外讲的真实案例，含真实数据、ROI 结果与踩过的坑；一套洗浴行业专用的诊断模板与沟通话术；一份已跑通的方案与报价结构。这才是能复制到第二家、第三家水汇的资产。</w:t>
      </w:r>
    </w:p>
    <w:p w14:paraId="67364D4E">
      <w:pPr>
        <w:pStyle w:val="000006"/>
        <w:keepNext w:val="1"/>
        <w:keepLines w:val="1"/>
        <w:shd w:val="clear" w:fill="1565c0"/>
        <w:spacing w:before="360" w:beforeAutospacing="1" w:after="108" w:afterAutospacing="1" w:line="396"/>
        <w:outlineLvl w:val="0"/>
        <w:rPr>
          <w:color w:val="f5f7fa"/>
          <w:kern w:val="44"/>
          <w:sz w:val="44"/>
          <w:szCs w:val="44"/>
        </w:rPr>
      </w:pPr>
      <w:bookmarkStart w:id="39" w:name="section-11"/>
      <w:r>
        <w:rPr>
          <w:rFonts w:hint="eastAsia" w:ascii="微软雅黑" w:hAnsi="微软雅黑" w:eastAsia="微软雅黑" w:cs="微软雅黑"/>
          <w:b w:val="1"/>
          <w:color w:val="f5f7fa"/>
          <w:sz w:val="32"/>
        </w:rPr>
        <w:t>方案承诺与边界声明</w:t>
      </w:r>
      <w:bookmarkEnd w:id="39"/>
    </w:p>
    <w:p w14:paraId="62458838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本方案不承诺营收增幅，仅承诺可核验的过程指标，包括应答时长、复购率、能耗占比、评价量与差评响应时长。</w:t>
      </w:r>
    </w:p>
    <w:p w14:paraId="163EAA44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本方案不要求决策层预先理解大模型，全程只需查看三张报表。</w:t>
      </w:r>
    </w:p>
    <w:p w14:paraId="74BF1FF5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本方案不介入任何擦边经营，不设计超出监管限额的预付费方案，不生成擦边营销文案，不协助规避监管的表述。相关违规情形一经发现，项目立即终止且不退款。</w:t>
      </w:r>
    </w:p>
    <w:p w14:paraId="24A02464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本方案不推翻现有收银与会员系统，以增量对接方式实施。</w:t>
      </w:r>
    </w:p>
    <w:p w14:paraId="159B0795">
      <w:pPr>
        <w:spacing w:after="132" w:line="396"/>
        <w:jc w:val="both"/>
        <w:rPr>
          <w:color w:val="212121"/>
        </w:rPr>
      </w:pPr>
      <w:r>
        <w:rPr>
          <w:rFonts w:hint="eastAsia" w:ascii="SimSun" w:hAnsi="SimSun" w:eastAsia="SimSun" w:cs="SimSun"/>
          <w:color w:val="212121"/>
          <w:sz w:val="24"/>
        </w:rPr>
        <w:t>方案中所有金额与占比的测算值，均基于公开行业基准推演，用于说明方法与量级，不构成对门店的经营承诺。正式合作前须以门店实际账单、客流与人力数据进行校准，以双方签署的《ROI 测算确认单》为唯一依据。</w:t>
      </w:r>
    </w:p>
    <w:p w14:paraId="261B0806">
      <w:pPr>
        <w:pStyle w:val="000002"/>
        <w:keepNext w:val="1"/>
        <w:keepLines w:val="1"/>
        <w:pBdr>
          <w:top w:val="single" w:color="cfd8dc" w:sz="6" w:space="5"/>
          <w:bottom w:val="single" w:color="cfd8dc" w:sz="6" w:space="3"/>
        </w:pBdr>
        <w:spacing w:before="360" w:beforeAutospacing="1" w:after="132" w:afterAutospacing="1" w:line="396"/>
        <w:outlineLvl w:val="1"/>
        <w:rPr>
          <w:color w:val="1a237e"/>
          <w:sz w:val="32"/>
          <w:szCs w:val="32"/>
        </w:rPr>
      </w:pPr>
      <w:bookmarkStart w:id="40" w:name="section-12"/>
      <w:r>
        <w:rPr>
          <w:rFonts w:hint="eastAsia" w:ascii="微软雅黑" w:hAnsi="微软雅黑" w:eastAsia="微软雅黑" w:cs="微软雅黑"/>
          <w:b w:val="1"/>
          <w:color w:val="1a237e"/>
          <w:sz w:val="28"/>
        </w:rPr>
        <w:t>数据来源说明</w:t>
      </w:r>
      <w:bookmarkEnd w:id="40"/>
    </w:p>
    <w:p w14:paraId="7E2B3506">
      <w:pPr>
        <w:pBdr>
          <w:top w:val="single" w:color="cfd8dc" w:sz="6" w:space="5"/>
        </w:pBdr>
        <w:spacing w:before="360" w:after="96" w:line="384"/>
        <w:jc w:val="both"/>
        <w:rPr>
          <w:color w:val="616161"/>
        </w:rPr>
      </w:pPr>
      <w:r>
        <w:rPr>
          <w:rFonts w:hint="eastAsia" w:ascii="SimSun" w:hAnsi="SimSun" w:eastAsia="SimSun" w:cs="SimSun"/>
          <w:color w:val="616161"/>
          <w:sz w:val="18"/>
        </w:rPr>
        <w:t>行业规模、增速、客群结构、成本占比、流失率、坪效基准等数据引自公开行业报告与媒体报道，包括但不限于：美团 2025 年行业数据、中国商业联合会沐浴专业行业调研、头豹研究院洗浴行业分析、培哲设计洗浴行业大数据、《2025 中国休闲洗浴产业发展白皮书》，以及锦江酒店、华住集团、麦当劳中国、首旅如家、温德姆等企业公开披露的数字化实践数据。</w:t>
      </w:r>
    </w:p>
    <w:p w14:paraId="076F18CF">
      <w:pPr>
        <w:pBdr>
          <w:top w:val="single" w:color="cfd8dc" w:sz="6" w:space="5"/>
        </w:pBdr>
        <w:spacing w:before="360" w:after="96" w:line="384"/>
        <w:jc w:val="both"/>
        <w:rPr>
          <w:color w:val="616161"/>
        </w:rPr>
        <w:sectPr>
          <w:footerReference r:id="rId5" w:type="default"/>
          <w:type w:val="nextPage"/>
          <w:pgSz w:w="11906" w:h="16838"/>
          <w:pgMar w:top="1440" w:right="1800" w:bottom="1440" w:left="1800" w:header="851" w:footer="992" w:gutter="0"/>
          <w:pgNumType w:start="1"/>
        </w:sectPr>
      </w:pPr>
      <w:r>
        <w:rPr>
          <w:rFonts w:hint="eastAsia" w:ascii="SimSun" w:hAnsi="SimSun" w:eastAsia="SimSun" w:cs="SimSun"/>
          <w:color w:val="616161"/>
          <w:sz w:val="18"/>
        </w:rPr>
        <w:t>标的特征描述基于公开报道，实际参数以现场核实为准。方案遵循行业合规底线，不介入任何违规经营设计。</w:t>
      </w:r>
    </w:p>
    <w:p w14:paraId="19560CBE">
      <w:pPr/>
    </w:p>
    <w:sectPr>
      <w:footerReference r:id="rId5" w:type="default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220DD1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FollowedHyperlink" w:semiHidden="1" w:unhideWhenUsed="1"/>
    <w:lsdException w:name="annotation text" w:semiHidden="1" w:unhideWhenUsed="1"/>
    <w:lsdException w:name="toc 9" w:uiPriority="39" w:semiHidden="1" w:unhideWhenUsed="1"/>
    <w:lsdException w:name="List Continue 4" w:semiHidden="1" w:unhideWhenUsed="1"/>
    <w:lsdException w:name="List 5" w:semiHidden="1" w:unhideWhenUsed="1"/>
    <w:lsdException w:name="List 4" w:semiHidden="1" w:unhideWhenUsed="1"/>
    <w:lsdException w:name="heading 4" w:uiPriority="9" w:semiHidden="1" w:unhideWhenUsed="1" w:qFormat="1"/>
    <w:lsdException w:name="List Bullet 5" w:semiHidden="1" w:unhideWhenUsed="1"/>
    <w:lsdException w:name="index 4" w:semiHidden="1" w:unhideWhenUsed="1"/>
    <w:lsdException w:name="table of authorities" w:semiHidden="1" w:unhideWhenUsed="1"/>
    <w:lsdException w:name="List 2" w:semiHidden="1" w:unhideWhenUsed="1"/>
    <w:lsdException w:name="toc 4" w:uiPriority="39" w:semiHidden="1" w:unhideWhenUsed="1"/>
    <w:lsdException w:name="annotation reference" w:semiHidden="1" w:unhideWhenUsed="1"/>
    <w:lsdException w:name="List Number 2" w:semiHidden="1" w:unhideWhenUsed="1"/>
    <w:lsdException w:name="List Continue 2" w:semiHidden="1" w:unhideWhenUsed="1"/>
    <w:lsdException w:name="index 5" w:semiHidden="1" w:unhideWhenUsed="1"/>
    <w:lsdException w:name="Body Text Indent" w:semiHidden="1" w:unhideWhenUsed="1"/>
    <w:lsdException w:name="index 6" w:semiHidden="1" w:unhideWhenUsed="1"/>
    <w:lsdException w:name="index 8" w:semiHidden="1" w:unhideWhenUsed="1"/>
    <w:lsdException w:name="heading 7" w:uiPriority="9" w:semiHidden="1" w:unhideWhenUsed="1" w:qFormat="1"/>
    <w:lsdException w:name="envelope address" w:semiHidden="1" w:unhideWhenUsed="1"/>
    <w:lsdException w:name="Normal Indent" w:semiHidden="1" w:unhideWhenUsed="1"/>
    <w:lsdException w:name="List" w:semiHidden="1" w:unhideWhenUsed="1"/>
    <w:lsdException w:name="Note Heading" w:semiHidden="1" w:unhideWhenUsed="1"/>
    <w:lsdException w:name="endnote text" w:semiHidden="1" w:unhideWhenUsed="1"/>
    <w:lsdException w:name="toc 1" w:uiPriority="39" w:semiHidden="1" w:unhideWhenUsed="1"/>
    <w:lsdException w:name="index 7" w:semiHidden="1" w:unhideWhenUsed="1"/>
    <w:lsdException w:name="heading 5" w:uiPriority="9" w:semiHidden="1" w:unhideWhenUsed="1" w:qFormat="1"/>
    <w:lsdException w:name="Body Text 2" w:semiHidden="1" w:unhideWhenUsed="1"/>
    <w:lsdException w:name="Title" w:uiPriority="10" w:qFormat="1"/>
    <w:lsdException w:name="List Bullet 2" w:semiHidden="1" w:unhideWhenUsed="1"/>
    <w:lsdException w:name="index 9" w:semiHidden="1" w:unhideWhenUsed="1"/>
    <w:lsdException w:name="Body Text Indent 3" w:semiHidden="1" w:unhideWhenUsed="1"/>
    <w:lsdException w:name="index 1" w:semiHidden="1" w:unhideWhenUsed="1"/>
    <w:lsdException w:name="List Number 5" w:semiHidden="1" w:unhideWhenUsed="1"/>
    <w:lsdException w:name="toc 6" w:uiPriority="39" w:semiHidden="1" w:unhideWhenUsed="1"/>
    <w:lsdException w:name="footnote reference" w:semiHidden="1" w:unhideWhenUsed="1"/>
    <w:lsdException w:name="List Number 3" w:semiHidden="1" w:unhideWhenUsed="1"/>
    <w:lsdException w:name="table of figures" w:semiHidden="1" w:unhideWhenUsed="1"/>
    <w:lsdException w:name="index 2" w:semiHidden="1" w:unhideWhenUsed="1"/>
    <w:lsdException w:name="List Number" w:semiHidden="1" w:unhideWhenUsed="1"/>
    <w:lsdException w:name="Body Text" w:semiHidden="1" w:unhideWhenUsed="1"/>
    <w:lsdException w:name="List Bullet" w:semiHidden="1" w:unhideWhenUsed="1"/>
    <w:lsdException w:name="List Continue 5" w:semiHidden="1" w:unhideWhenUsed="1"/>
    <w:lsdException w:name="Date" w:semiHidden="1" w:unhideWhenUsed="1"/>
    <w:lsdException w:name="toc 7" w:uiPriority="39" w:semiHidden="1" w:unhideWhenUsed="1"/>
    <w:lsdException w:name="Salutation" w:semiHidden="1" w:unhideWhenUsed="1"/>
    <w:lsdException w:name="List Number 4" w:semiHidden="1" w:unhideWhenUsed="1"/>
    <w:lsdException w:name="heading 2" w:uiPriority="9" w:semiHidden="1" w:unhideWhenUsed="1" w:qFormat="1"/>
    <w:lsdException w:name="List Continue 3" w:semiHidden="1" w:unhideWhenUsed="1"/>
    <w:lsdException w:name="Signature" w:semiHidden="1" w:unhideWhenUsed="1"/>
    <w:lsdException w:name="Closing" w:semiHidden="1" w:unhideWhenUsed="1"/>
    <w:lsdException w:name="toc 5" w:uiPriority="39" w:semiHidden="1" w:unhideWhenUsed="1"/>
    <w:lsdException w:name="toc 2" w:uiPriority="39" w:semiHidden="1" w:unhideWhenUsed="1"/>
    <w:lsdException w:name="heading 8" w:uiPriority="9" w:semiHidden="1" w:unhideWhenUsed="1" w:qFormat="1"/>
    <w:lsdException w:name="Hyperlink" w:semiHidden="1" w:unhideWhenUsed="1"/>
    <w:lsdException w:name="footnote text" w:semiHidden="1" w:unhideWhenUsed="1"/>
    <w:lsdException w:name="heading 6" w:uiPriority="9" w:semiHidden="1" w:unhideWhenUsed="1" w:qFormat="1"/>
    <w:lsdException w:name="List 3" w:semiHidden="1" w:unhideWhenUsed="1"/>
    <w:lsdException w:name="Strong" w:uiPriority="22" w:qFormat="1"/>
    <w:lsdException w:name="List Continue" w:semiHidden="1" w:unhideWhenUsed="1"/>
    <w:lsdException w:name="Body Text First Indent 2" w:semiHidden="1" w:unhideWhenUsed="1"/>
    <w:lsdException w:name="Message Header" w:semiHidden="1" w:unhideWhenUsed="1"/>
    <w:lsdException w:name="heading 3" w:uiPriority="9" w:semiHidden="1" w:unhideWhenUsed="1" w:qFormat="1"/>
    <w:lsdException w:name="Block Text" w:semiHidden="1" w:unhideWhenUsed="1"/>
    <w:lsdException w:name="macro" w:semiHidden="1" w:unhideWhenUsed="1"/>
    <w:lsdException w:name="heading 9" w:uiPriority="9" w:semiHidden="1" w:unhideWhenUsed="1" w:qFormat="1"/>
    <w:lsdException w:name="footer" w:semiHidden="1" w:unhideWhenUsed="1"/>
    <w:lsdException w:name="endnote reference" w:semiHidden="1" w:unhideWhenUsed="1"/>
    <w:lsdException w:name="Normal" w:uiPriority="0" w:qFormat="1"/>
    <w:lsdException w:name="heading 1" w:uiPriority="9" w:qFormat="1"/>
    <w:lsdException w:name="Body Text Indent 2" w:semiHidden="1" w:unhideWhenUsed="1"/>
    <w:lsdException w:name="toc 3" w:uiPriority="39" w:semiHidden="1" w:unhideWhenUsed="1"/>
    <w:lsdException w:name="page number" w:semiHidden="1" w:unhideWhenUsed="1"/>
    <w:lsdException w:name="line number" w:semiHidden="1" w:unhideWhenUsed="1"/>
    <w:lsdException w:name="Body Text 3" w:semiHidden="1" w:unhideWhenUsed="1"/>
    <w:lsdException w:name="envelope return" w:semiHidden="1" w:unhideWhenUsed="1"/>
    <w:lsdException w:name="toa heading" w:semiHidden="1" w:unhideWhenUsed="1"/>
    <w:lsdException w:name="List Bullet 3" w:semiHidden="1" w:unhideWhenUsed="1"/>
    <w:lsdException w:name="toc 8" w:uiPriority="39" w:semiHidden="1" w:unhideWhenUsed="1"/>
    <w:lsdException w:name="Body Text First Indent" w:semiHidden="1" w:unhideWhenUsed="1"/>
    <w:lsdException w:name="Subtitle" w:uiPriority="11" w:qFormat="1"/>
    <w:lsdException w:name="header" w:semiHidden="1" w:unhideWhenUsed="1"/>
    <w:lsdException w:name="List Bullet 4" w:semiHidden="1" w:unhideWhenUsed="1"/>
    <w:lsdException w:name="index heading" w:semiHidden="1" w:unhideWhenUsed="1"/>
    <w:lsdException w:name="index 3" w:semiHidden="1" w:unhideWhenUsed="1"/>
    <w:lsdException w:name="Default Paragraph Font" w:uiPriority="1" w:semiHidden="1" w:unhideWhenUsed="1"/>
    <w:lsdException w:name="caption" w:uiPriority="35" w:semiHidden="1" w:unhideWhenUsed="1" w:qFormat="1"/>
  </w:latentStyles>
  <w:style w:type="paragraph" w:styleId="3xirz1" w:default="1">
    <w:name w:val="Normal"/>
    <w:pPr>
      <w:widowControl w:val="0"/>
      <w:jc w:val="left"/>
    </w:pPr>
  </w:style>
  <w:style w:type="paragraph" w:styleId="000002">
    <w:name w:val="heading 2"/>
    <w:basedOn w:val="000003"/>
    <w:next w:val="000003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toc 1"/>
    <w:basedOn w:val="000003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  <w:style w:type="paragraph" w:styleId="000004">
    <w:name w:val="toc 2"/>
    <w:basedOn w:val="000003"/>
    <w:qFormat w:val="1"/>
    <w:pPr>
      <w:tabs>
        <w:tab w:val="right" w:leader="dot" w:pos="9072"/>
      </w:tabs>
      <w:spacing w:after="60" w:line="360"/>
      <w:ind w:left="420"/>
    </w:pPr>
    <w:rPr>
      <w:rFonts w:ascii="SimSun" w:hAnsi="SimSun" w:eastAsia="SimSun" w:cs="SimSun"/>
      <w:sz w:val="24"/>
      <w:szCs w:val="24"/>
    </w:rPr>
  </w:style>
  <w:style w:type="paragraph" w:styleId="000006">
    <w:name w:val="heading 1"/>
    <w:basedOn w:val="000003"/>
    <w:next w:val="000003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6" Type="http://schemas.openxmlformats.org/officeDocument/2006/relationships/image" Target="media/image1.png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2026-10-22T16:30:30Z</dcterms:created>
  <dcterms:modified xsi:type="dcterms:W3CDTF">2026-10-22T16:30:30Z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"01a16237c6a3715fbef659d40f428c82", "ReservedCode1": "", "ContentPropagator": "00119111010856365494821B355", "PropagateID": "01a16237c6a3715fbef659d40f428c82", "ReservedCode2": ""}}</vt:lpwstr>
  </property>
</Properties>
</file>